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6A97" w14:textId="77777777" w:rsidR="003E5D5C" w:rsidRDefault="00000000">
      <w:pPr>
        <w:pStyle w:val="FirstParagraph"/>
      </w:pPr>
      <w:r>
        <w:t>IN THE CIRCUIT COURT FOR BALTIMORE COUNTY, MARYLAND</w:t>
      </w:r>
    </w:p>
    <w:p w14:paraId="1D4CD9C8" w14:textId="77777777" w:rsidR="003E5D5C" w:rsidRDefault="00000000">
      <w:pPr>
        <w:pStyle w:val="BodyText"/>
      </w:pPr>
      <w:r>
        <w:t>ANDREW BRENNER, et al., Substitute Trustees, Plaintiffs, v. JEFFREY M. SCHATZ, Defendant.</w:t>
      </w:r>
    </w:p>
    <w:p w14:paraId="284B869B" w14:textId="77777777" w:rsidR="003E5D5C" w:rsidRDefault="00000000">
      <w:pPr>
        <w:pStyle w:val="BodyText"/>
      </w:pPr>
      <w:r>
        <w:t>Case No. C-03-CV-24-003218 _____________________________________________________________</w:t>
      </w:r>
    </w:p>
    <w:p w14:paraId="74779D94" w14:textId="77777777" w:rsidR="003E5D5C" w:rsidRDefault="00000000">
      <w:pPr>
        <w:pStyle w:val="Heading1"/>
      </w:pPr>
      <w:bookmarkStart w:id="0" w:name="X5df99f2cf71a7fc66ca0af0270c386ac64c80eb"/>
      <w:r>
        <w:t>DECLARATION OF METHODOLOGY — IDENTIFICATION OF THE NOTE WITHIN GINNIE MAE POOL 082539</w:t>
      </w:r>
      <w:bookmarkEnd w:id="0"/>
    </w:p>
    <w:p w14:paraId="2BE53C97" w14:textId="77777777" w:rsidR="003E5D5C" w:rsidRPr="009F47E0" w:rsidRDefault="0000000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I, </w:t>
      </w:r>
      <w:r w:rsidRPr="009F47E0">
        <w:rPr>
          <w:rFonts w:ascii="Garamond" w:hAnsi="Garamond"/>
          <w:b/>
          <w:sz w:val="28"/>
          <w:szCs w:val="28"/>
        </w:rPr>
        <w:t>Jeffrey M. Schatz</w:t>
      </w:r>
      <w:r w:rsidRPr="009F47E0">
        <w:rPr>
          <w:rFonts w:ascii="Garamond" w:hAnsi="Garamond"/>
          <w:sz w:val="28"/>
          <w:szCs w:val="28"/>
        </w:rPr>
        <w:t xml:space="preserve">, Defendant </w:t>
      </w:r>
      <w:r w:rsidRPr="009F47E0">
        <w:rPr>
          <w:rFonts w:ascii="Garamond" w:hAnsi="Garamond"/>
          <w:i/>
          <w:sz w:val="28"/>
          <w:szCs w:val="28"/>
        </w:rPr>
        <w:t>in propria persona</w:t>
      </w:r>
      <w:r w:rsidRPr="009F47E0">
        <w:rPr>
          <w:rFonts w:ascii="Garamond" w:hAnsi="Garamond"/>
          <w:sz w:val="28"/>
          <w:szCs w:val="28"/>
        </w:rPr>
        <w:t xml:space="preserve">, </w:t>
      </w:r>
      <w:proofErr w:type="gramStart"/>
      <w:r w:rsidRPr="009F47E0">
        <w:rPr>
          <w:rFonts w:ascii="Garamond" w:hAnsi="Garamond"/>
          <w:sz w:val="28"/>
          <w:szCs w:val="28"/>
        </w:rPr>
        <w:t>declare</w:t>
      </w:r>
      <w:proofErr w:type="gramEnd"/>
      <w:r w:rsidRPr="009F47E0">
        <w:rPr>
          <w:rFonts w:ascii="Garamond" w:hAnsi="Garamond"/>
          <w:sz w:val="28"/>
          <w:szCs w:val="28"/>
        </w:rPr>
        <w:t xml:space="preserve"> under the penalties of perjury pursuant to </w:t>
      </w:r>
      <w:r w:rsidRPr="009F47E0">
        <w:rPr>
          <w:rFonts w:ascii="Garamond" w:hAnsi="Garamond"/>
          <w:b/>
          <w:sz w:val="28"/>
          <w:szCs w:val="28"/>
        </w:rPr>
        <w:t>Md. Code Ann., Cts. &amp; Jud. Proc. § 1-304</w:t>
      </w:r>
      <w:r w:rsidRPr="009F47E0">
        <w:rPr>
          <w:rFonts w:ascii="Garamond" w:hAnsi="Garamond"/>
          <w:sz w:val="28"/>
          <w:szCs w:val="28"/>
        </w:rPr>
        <w:t xml:space="preserve"> that the following is true and correct to the best of my knowledge, information, and belief, and that I directed, performed, and verified the analysis described below:</w:t>
      </w:r>
    </w:p>
    <w:p w14:paraId="14523038" w14:textId="240BADDF" w:rsidR="003E5D5C" w:rsidRPr="009F47E0" w:rsidRDefault="00000000" w:rsidP="009F47E0">
      <w:pPr>
        <w:pStyle w:val="Heading2"/>
        <w:spacing w:line="360" w:lineRule="auto"/>
        <w:rPr>
          <w:rFonts w:ascii="Garamond" w:hAnsi="Garamond"/>
        </w:rPr>
      </w:pPr>
      <w:bookmarkStart w:id="1" w:name="purpose"/>
      <w:r w:rsidRPr="009F47E0">
        <w:rPr>
          <w:rFonts w:ascii="Garamond" w:hAnsi="Garamond"/>
        </w:rPr>
        <w:t>Purpose</w:t>
      </w:r>
      <w:bookmarkEnd w:id="1"/>
    </w:p>
    <w:p w14:paraId="30109323" w14:textId="77777777" w:rsidR="003E5D5C" w:rsidRPr="009F47E0" w:rsidRDefault="00000000" w:rsidP="009F47E0">
      <w:pPr>
        <w:pStyle w:val="Compact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This Declaration documents how the promissory note secured by 18 Edmondson Ridge Road, Catonsville, Maryland (the “Note”) was identified, to a documentary certainty, as a specific loan record inside a specific Ginnie Mae security — </w:t>
      </w:r>
      <w:r w:rsidRPr="009F47E0">
        <w:rPr>
          <w:rFonts w:ascii="Garamond" w:hAnsi="Garamond"/>
          <w:b/>
          <w:sz w:val="28"/>
          <w:szCs w:val="28"/>
        </w:rPr>
        <w:t>sequence number 1013782744 in Ginnie Mae II Pool 082539</w:t>
      </w:r>
      <w:r w:rsidRPr="009F47E0">
        <w:rPr>
          <w:rFonts w:ascii="Garamond" w:hAnsi="Garamond"/>
          <w:sz w:val="28"/>
          <w:szCs w:val="28"/>
        </w:rPr>
        <w:t xml:space="preserve"> — and authenticates the public Ginnie Mae records relied upon. It is offered as </w:t>
      </w:r>
      <w:r w:rsidRPr="009F47E0">
        <w:rPr>
          <w:rFonts w:ascii="Garamond" w:hAnsi="Garamond"/>
          <w:b/>
          <w:sz w:val="28"/>
          <w:szCs w:val="28"/>
        </w:rPr>
        <w:t>identification</w:t>
      </w:r>
      <w:r w:rsidRPr="009F47E0">
        <w:rPr>
          <w:rFonts w:ascii="Garamond" w:hAnsi="Garamond"/>
          <w:sz w:val="28"/>
          <w:szCs w:val="28"/>
        </w:rPr>
        <w:t>, not as a legal conclusion; it does not assert that any instrument is void.</w:t>
      </w:r>
    </w:p>
    <w:p w14:paraId="06E96170" w14:textId="5E0AA10E" w:rsidR="003E5D5C" w:rsidRPr="009F47E0" w:rsidRDefault="009F47E0" w:rsidP="009F47E0">
      <w:pPr>
        <w:pStyle w:val="Heading2"/>
        <w:tabs>
          <w:tab w:val="left" w:pos="990"/>
        </w:tabs>
        <w:spacing w:line="360" w:lineRule="auto"/>
        <w:ind w:firstLine="720"/>
        <w:rPr>
          <w:rFonts w:ascii="Garamond" w:hAnsi="Garamond"/>
        </w:rPr>
      </w:pPr>
      <w:bookmarkStart w:id="2" w:name="Xa5bbd72ee277a5c6b08ede69b41376614effaad"/>
      <w:r w:rsidRPr="009F47E0">
        <w:rPr>
          <w:rFonts w:ascii="Garamond" w:hAnsi="Garamond"/>
        </w:rPr>
        <w:t>I</w:t>
      </w:r>
      <w:r w:rsidR="00000000" w:rsidRPr="009F47E0">
        <w:rPr>
          <w:rFonts w:ascii="Garamond" w:hAnsi="Garamond"/>
        </w:rPr>
        <w:t>dentifiers taken from the instruments</w:t>
      </w:r>
      <w:bookmarkEnd w:id="2"/>
    </w:p>
    <w:p w14:paraId="424BB03F" w14:textId="77777777" w:rsidR="003E5D5C" w:rsidRPr="009F47E0" w:rsidRDefault="00000000" w:rsidP="009F47E0">
      <w:pPr>
        <w:pStyle w:val="Compact"/>
        <w:numPr>
          <w:ilvl w:val="0"/>
          <w:numId w:val="3"/>
        </w:numPr>
        <w:tabs>
          <w:tab w:val="left" w:pos="990"/>
        </w:tabs>
        <w:spacing w:line="360" w:lineRule="auto"/>
        <w:ind w:left="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From the closing instruments alone, the Note is: (a) </w:t>
      </w:r>
      <w:r w:rsidRPr="009F47E0">
        <w:rPr>
          <w:rFonts w:ascii="Garamond" w:hAnsi="Garamond"/>
          <w:b/>
          <w:sz w:val="28"/>
          <w:szCs w:val="28"/>
        </w:rPr>
        <w:t>FHA-insured</w:t>
      </w:r>
      <w:r w:rsidRPr="009F47E0">
        <w:rPr>
          <w:rFonts w:ascii="Garamond" w:hAnsi="Garamond"/>
          <w:sz w:val="28"/>
          <w:szCs w:val="28"/>
        </w:rPr>
        <w:t xml:space="preserve">; (b) originated </w:t>
      </w:r>
      <w:r w:rsidRPr="009F47E0">
        <w:rPr>
          <w:rFonts w:ascii="Garamond" w:hAnsi="Garamond"/>
          <w:b/>
          <w:sz w:val="28"/>
          <w:szCs w:val="28"/>
        </w:rPr>
        <w:t>April 13, 2010</w:t>
      </w:r>
      <w:r w:rsidRPr="009F47E0">
        <w:rPr>
          <w:rFonts w:ascii="Garamond" w:hAnsi="Garamond"/>
          <w:sz w:val="28"/>
          <w:szCs w:val="28"/>
        </w:rPr>
        <w:t xml:space="preserve">, payable to </w:t>
      </w:r>
      <w:r w:rsidRPr="009F47E0">
        <w:rPr>
          <w:rFonts w:ascii="Garamond" w:hAnsi="Garamond"/>
          <w:b/>
          <w:sz w:val="28"/>
          <w:szCs w:val="28"/>
        </w:rPr>
        <w:t>Wells Fargo Bank, N.A.</w:t>
      </w:r>
      <w:r w:rsidRPr="009F47E0">
        <w:rPr>
          <w:rFonts w:ascii="Garamond" w:hAnsi="Garamond"/>
          <w:sz w:val="28"/>
          <w:szCs w:val="28"/>
        </w:rPr>
        <w:t xml:space="preserve">; (c) an </w:t>
      </w:r>
      <w:r w:rsidRPr="009F47E0">
        <w:rPr>
          <w:rFonts w:ascii="Garamond" w:hAnsi="Garamond"/>
          <w:b/>
          <w:sz w:val="28"/>
          <w:szCs w:val="28"/>
        </w:rPr>
        <w:t>adjustable-rate</w:t>
      </w:r>
      <w:r w:rsidRPr="009F47E0">
        <w:rPr>
          <w:rFonts w:ascii="Garamond" w:hAnsi="Garamond"/>
          <w:sz w:val="28"/>
          <w:szCs w:val="28"/>
        </w:rPr>
        <w:t xml:space="preserve"> note with a </w:t>
      </w:r>
      <w:r w:rsidRPr="009F47E0">
        <w:rPr>
          <w:rFonts w:ascii="Garamond" w:hAnsi="Garamond"/>
          <w:b/>
          <w:sz w:val="28"/>
          <w:szCs w:val="28"/>
        </w:rPr>
        <w:t>4.25%</w:t>
      </w:r>
      <w:r w:rsidRPr="009F47E0">
        <w:rPr>
          <w:rFonts w:ascii="Garamond" w:hAnsi="Garamond"/>
          <w:sz w:val="28"/>
          <w:szCs w:val="28"/>
        </w:rPr>
        <w:t xml:space="preserve"> start rate and an original principal of </w:t>
      </w:r>
      <w:r w:rsidRPr="009F47E0">
        <w:rPr>
          <w:rFonts w:ascii="Garamond" w:hAnsi="Garamond"/>
          <w:b/>
          <w:sz w:val="28"/>
          <w:szCs w:val="28"/>
        </w:rPr>
        <w:t>$254,308</w:t>
      </w:r>
      <w:r w:rsidRPr="009F47E0">
        <w:rPr>
          <w:rFonts w:ascii="Garamond" w:hAnsi="Garamond"/>
          <w:sz w:val="28"/>
          <w:szCs w:val="28"/>
        </w:rPr>
        <w:t xml:space="preserve">; and (d) carrying a </w:t>
      </w:r>
      <w:r w:rsidRPr="009F47E0">
        <w:rPr>
          <w:rFonts w:ascii="Garamond" w:hAnsi="Garamond"/>
          <w:b/>
          <w:sz w:val="28"/>
          <w:szCs w:val="28"/>
        </w:rPr>
        <w:t>first payment of June 1, 2010</w:t>
      </w:r>
      <w:r w:rsidRPr="009F47E0">
        <w:rPr>
          <w:rFonts w:ascii="Garamond" w:hAnsi="Garamond"/>
          <w:sz w:val="28"/>
          <w:szCs w:val="28"/>
        </w:rPr>
        <w:t xml:space="preserve"> and a </w:t>
      </w:r>
      <w:r w:rsidRPr="009F47E0">
        <w:rPr>
          <w:rFonts w:ascii="Garamond" w:hAnsi="Garamond"/>
          <w:b/>
          <w:sz w:val="28"/>
          <w:szCs w:val="28"/>
        </w:rPr>
        <w:t>maturity of May 1, 2040</w:t>
      </w:r>
      <w:r w:rsidRPr="009F47E0">
        <w:rPr>
          <w:rFonts w:ascii="Garamond" w:hAnsi="Garamond"/>
          <w:sz w:val="28"/>
          <w:szCs w:val="28"/>
        </w:rPr>
        <w:t>. These attributes formed the search key.</w:t>
      </w:r>
    </w:p>
    <w:p w14:paraId="6CB54151" w14:textId="63C97D90" w:rsidR="003E5D5C" w:rsidRPr="009F47E0" w:rsidRDefault="009F47E0" w:rsidP="009F47E0">
      <w:pPr>
        <w:pStyle w:val="Heading2"/>
        <w:tabs>
          <w:tab w:val="left" w:pos="990"/>
        </w:tabs>
        <w:spacing w:line="360" w:lineRule="auto"/>
        <w:ind w:firstLine="720"/>
        <w:rPr>
          <w:rFonts w:ascii="Garamond" w:hAnsi="Garamond"/>
        </w:rPr>
      </w:pPr>
      <w:bookmarkStart w:id="3" w:name="the-data-and-the-authority-to-use-it"/>
      <w:r w:rsidRPr="009F47E0">
        <w:rPr>
          <w:rFonts w:ascii="Garamond" w:hAnsi="Garamond"/>
        </w:rPr>
        <w:lastRenderedPageBreak/>
        <w:t>D</w:t>
      </w:r>
      <w:r w:rsidR="00000000" w:rsidRPr="009F47E0">
        <w:rPr>
          <w:rFonts w:ascii="Garamond" w:hAnsi="Garamond"/>
        </w:rPr>
        <w:t>ata and the authority to use it</w:t>
      </w:r>
      <w:bookmarkEnd w:id="3"/>
    </w:p>
    <w:p w14:paraId="0097B7DE" w14:textId="77777777" w:rsidR="003E5D5C" w:rsidRPr="009F47E0" w:rsidRDefault="00000000" w:rsidP="009F47E0">
      <w:pPr>
        <w:pStyle w:val="Compact"/>
        <w:numPr>
          <w:ilvl w:val="0"/>
          <w:numId w:val="4"/>
        </w:numPr>
        <w:tabs>
          <w:tab w:val="left" w:pos="990"/>
        </w:tabs>
        <w:spacing w:line="360" w:lineRule="auto"/>
        <w:ind w:left="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Ginnie Mae — a wholly-owned federal government corporation within HUD — publishes </w:t>
      </w:r>
      <w:r w:rsidRPr="009F47E0">
        <w:rPr>
          <w:rFonts w:ascii="Garamond" w:hAnsi="Garamond"/>
          <w:b/>
          <w:sz w:val="28"/>
          <w:szCs w:val="28"/>
        </w:rPr>
        <w:t>loan-level disclosure files</w:t>
      </w:r>
      <w:r w:rsidRPr="009F47E0">
        <w:rPr>
          <w:rFonts w:ascii="Garamond" w:hAnsi="Garamond"/>
          <w:sz w:val="28"/>
          <w:szCs w:val="28"/>
        </w:rPr>
        <w:t xml:space="preserve"> reporting, for every loan in every Ginnie security, a set of de-identified attributes (the files contain </w:t>
      </w:r>
      <w:r w:rsidRPr="009F47E0">
        <w:rPr>
          <w:rFonts w:ascii="Garamond" w:hAnsi="Garamond"/>
          <w:b/>
          <w:sz w:val="28"/>
          <w:szCs w:val="28"/>
        </w:rPr>
        <w:t>no borrower names</w:t>
      </w:r>
      <w:r w:rsidRPr="009F47E0">
        <w:rPr>
          <w:rFonts w:ascii="Garamond" w:hAnsi="Garamond"/>
          <w:sz w:val="28"/>
          <w:szCs w:val="28"/>
        </w:rPr>
        <w:t xml:space="preserve">). They are public, free, and downloadable from </w:t>
      </w:r>
      <w:r w:rsidRPr="009F47E0">
        <w:rPr>
          <w:rFonts w:ascii="Garamond" w:hAnsi="Garamond"/>
          <w:b/>
          <w:sz w:val="28"/>
          <w:szCs w:val="28"/>
        </w:rPr>
        <w:t>ginniemae.gov</w:t>
      </w:r>
      <w:r w:rsidRPr="009F47E0">
        <w:rPr>
          <w:rFonts w:ascii="Garamond" w:hAnsi="Garamond"/>
          <w:sz w:val="28"/>
          <w:szCs w:val="28"/>
        </w:rPr>
        <w:t xml:space="preserve">. No access-controlled system was used. For evidentiary purposes these are official government publications subject to authentication under </w:t>
      </w:r>
      <w:r w:rsidRPr="009F47E0">
        <w:rPr>
          <w:rFonts w:ascii="Garamond" w:hAnsi="Garamond"/>
          <w:b/>
          <w:sz w:val="28"/>
          <w:szCs w:val="28"/>
        </w:rPr>
        <w:t>Md. Rule 5-902</w:t>
      </w:r>
      <w:r w:rsidRPr="009F47E0">
        <w:rPr>
          <w:rFonts w:ascii="Garamond" w:hAnsi="Garamond"/>
          <w:sz w:val="28"/>
          <w:szCs w:val="28"/>
        </w:rPr>
        <w:t xml:space="preserve"> and to judicial notice.</w:t>
      </w:r>
    </w:p>
    <w:p w14:paraId="4EE1B30E" w14:textId="77777777" w:rsidR="009F47E0" w:rsidRDefault="009F47E0" w:rsidP="009F47E0">
      <w:pPr>
        <w:pStyle w:val="Heading2"/>
        <w:tabs>
          <w:tab w:val="left" w:pos="990"/>
        </w:tabs>
        <w:spacing w:line="360" w:lineRule="auto"/>
        <w:ind w:firstLine="720"/>
        <w:rPr>
          <w:rFonts w:ascii="Garamond" w:hAnsi="Garamond"/>
        </w:rPr>
      </w:pPr>
      <w:bookmarkStart w:id="4" w:name="the-method"/>
    </w:p>
    <w:p w14:paraId="57756171" w14:textId="5663D4A5" w:rsidR="003E5D5C" w:rsidRPr="009F47E0" w:rsidRDefault="009F47E0" w:rsidP="009F47E0">
      <w:pPr>
        <w:pStyle w:val="Heading2"/>
        <w:tabs>
          <w:tab w:val="left" w:pos="990"/>
        </w:tabs>
        <w:spacing w:line="360" w:lineRule="auto"/>
        <w:ind w:firstLine="720"/>
        <w:rPr>
          <w:rFonts w:ascii="Garamond" w:hAnsi="Garamond"/>
        </w:rPr>
      </w:pPr>
      <w:r w:rsidRPr="009F47E0">
        <w:rPr>
          <w:rFonts w:ascii="Garamond" w:hAnsi="Garamond"/>
        </w:rPr>
        <w:t>M</w:t>
      </w:r>
      <w:r w:rsidR="00000000" w:rsidRPr="009F47E0">
        <w:rPr>
          <w:rFonts w:ascii="Garamond" w:hAnsi="Garamond"/>
        </w:rPr>
        <w:t>ethod</w:t>
      </w:r>
      <w:bookmarkEnd w:id="4"/>
    </w:p>
    <w:p w14:paraId="4D2802D2" w14:textId="77777777" w:rsidR="003E5D5C" w:rsidRPr="009F47E0" w:rsidRDefault="00000000" w:rsidP="009F47E0">
      <w:pPr>
        <w:pStyle w:val="Compact"/>
        <w:numPr>
          <w:ilvl w:val="0"/>
          <w:numId w:val="5"/>
        </w:numPr>
        <w:tabs>
          <w:tab w:val="left" w:pos="990"/>
        </w:tabs>
        <w:spacing w:line="360" w:lineRule="auto"/>
        <w:ind w:left="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Because the public files contain no names, identification is a </w:t>
      </w:r>
      <w:r w:rsidRPr="009F47E0">
        <w:rPr>
          <w:rFonts w:ascii="Garamond" w:hAnsi="Garamond"/>
          <w:b/>
          <w:sz w:val="28"/>
          <w:szCs w:val="28"/>
        </w:rPr>
        <w:t>record-linkage</w:t>
      </w:r>
      <w:r w:rsidRPr="009F47E0">
        <w:rPr>
          <w:rFonts w:ascii="Garamond" w:hAnsi="Garamond"/>
          <w:sz w:val="28"/>
          <w:szCs w:val="28"/>
        </w:rPr>
        <w:t xml:space="preserve"> problem: link a known record (the Note) to a de-identified universe (Ginnie’s data) on shared attributes. The technique proceeded in four disciplined steps:</w:t>
      </w:r>
    </w:p>
    <w:p w14:paraId="1300FE45" w14:textId="77777777" w:rsidR="003E5D5C" w:rsidRPr="009F47E0" w:rsidRDefault="00000000" w:rsidP="009F47E0">
      <w:pPr>
        <w:pStyle w:val="Compact"/>
        <w:numPr>
          <w:ilvl w:val="1"/>
          <w:numId w:val="6"/>
        </w:numPr>
        <w:tabs>
          <w:tab w:val="left" w:pos="1710"/>
          <w:tab w:val="left" w:pos="2430"/>
        </w:tabs>
        <w:spacing w:line="360" w:lineRule="auto"/>
        <w:ind w:left="72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b/>
          <w:sz w:val="28"/>
          <w:szCs w:val="28"/>
        </w:rPr>
        <w:t xml:space="preserve">Deterministic multi-key </w:t>
      </w:r>
      <w:proofErr w:type="gramStart"/>
      <w:r w:rsidRPr="009F47E0">
        <w:rPr>
          <w:rFonts w:ascii="Garamond" w:hAnsi="Garamond"/>
          <w:b/>
          <w:sz w:val="28"/>
          <w:szCs w:val="28"/>
        </w:rPr>
        <w:t>match</w:t>
      </w:r>
      <w:r w:rsidRPr="009F47E0">
        <w:rPr>
          <w:rFonts w:ascii="Garamond" w:hAnsi="Garamond"/>
          <w:sz w:val="28"/>
          <w:szCs w:val="28"/>
        </w:rPr>
        <w:t xml:space="preserve"> —</w:t>
      </w:r>
      <w:proofErr w:type="gramEnd"/>
      <w:r w:rsidRPr="009F47E0">
        <w:rPr>
          <w:rFonts w:ascii="Garamond" w:hAnsi="Garamond"/>
          <w:sz w:val="28"/>
          <w:szCs w:val="28"/>
        </w:rPr>
        <w:t xml:space="preserve"> filter the universe to records matching all eight published keys (program, issuer, state, original balance, note rate, first-payment date, maturity, pool type) simultaneously.</w:t>
      </w:r>
    </w:p>
    <w:p w14:paraId="28275796" w14:textId="77777777" w:rsidR="003E5D5C" w:rsidRPr="009F47E0" w:rsidRDefault="00000000" w:rsidP="009F47E0">
      <w:pPr>
        <w:pStyle w:val="Compact"/>
        <w:numPr>
          <w:ilvl w:val="1"/>
          <w:numId w:val="6"/>
        </w:numPr>
        <w:tabs>
          <w:tab w:val="left" w:pos="1710"/>
          <w:tab w:val="left" w:pos="2430"/>
        </w:tabs>
        <w:spacing w:line="360" w:lineRule="auto"/>
        <w:ind w:left="72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b/>
          <w:sz w:val="28"/>
          <w:szCs w:val="28"/>
        </w:rPr>
        <w:t>High-entropy disambiguation</w:t>
      </w:r>
      <w:r w:rsidRPr="009F47E0">
        <w:rPr>
          <w:rFonts w:ascii="Garamond" w:hAnsi="Garamond"/>
          <w:sz w:val="28"/>
          <w:szCs w:val="28"/>
        </w:rPr>
        <w:t xml:space="preserve"> — confirm against a near-unique fingerprint: the </w:t>
      </w:r>
      <w:r w:rsidRPr="009F47E0">
        <w:rPr>
          <w:rFonts w:ascii="Garamond" w:hAnsi="Garamond"/>
          <w:b/>
          <w:sz w:val="28"/>
          <w:szCs w:val="28"/>
        </w:rPr>
        <w:t>penny-level current unpaid principal balance</w:t>
      </w:r>
      <w:r w:rsidRPr="009F47E0">
        <w:rPr>
          <w:rFonts w:ascii="Garamond" w:hAnsi="Garamond"/>
          <w:sz w:val="28"/>
          <w:szCs w:val="28"/>
        </w:rPr>
        <w:t>, cross-checked to Wells Fargo’s own produced servicing ledger for the same month.</w:t>
      </w:r>
    </w:p>
    <w:p w14:paraId="0857EA04" w14:textId="77777777" w:rsidR="003E5D5C" w:rsidRPr="009F47E0" w:rsidRDefault="00000000" w:rsidP="009F47E0">
      <w:pPr>
        <w:pStyle w:val="Compact"/>
        <w:numPr>
          <w:ilvl w:val="1"/>
          <w:numId w:val="6"/>
        </w:numPr>
        <w:tabs>
          <w:tab w:val="left" w:pos="1710"/>
          <w:tab w:val="left" w:pos="2430"/>
        </w:tabs>
        <w:spacing w:line="360" w:lineRule="auto"/>
        <w:ind w:left="72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b/>
          <w:sz w:val="28"/>
          <w:szCs w:val="28"/>
        </w:rPr>
        <w:t>Falsification / elimination</w:t>
      </w:r>
      <w:r w:rsidRPr="009F47E0">
        <w:rPr>
          <w:rFonts w:ascii="Garamond" w:hAnsi="Garamond"/>
          <w:sz w:val="28"/>
          <w:szCs w:val="28"/>
        </w:rPr>
        <w:t xml:space="preserve"> — actively search the complete files across multiple periods for any other record that could satisfy the key, and to confirm the loan had </w:t>
      </w:r>
      <w:proofErr w:type="gramStart"/>
      <w:r w:rsidRPr="009F47E0">
        <w:rPr>
          <w:rFonts w:ascii="Garamond" w:hAnsi="Garamond"/>
          <w:sz w:val="28"/>
          <w:szCs w:val="28"/>
        </w:rPr>
        <w:t>exited</w:t>
      </w:r>
      <w:proofErr w:type="gramEnd"/>
      <w:r w:rsidRPr="009F47E0">
        <w:rPr>
          <w:rFonts w:ascii="Garamond" w:hAnsi="Garamond"/>
          <w:sz w:val="28"/>
          <w:szCs w:val="28"/>
        </w:rPr>
        <w:t xml:space="preserve"> the security.</w:t>
      </w:r>
    </w:p>
    <w:p w14:paraId="2FB94ABC" w14:textId="77777777" w:rsidR="003E5D5C" w:rsidRPr="009F47E0" w:rsidRDefault="00000000" w:rsidP="009F47E0">
      <w:pPr>
        <w:pStyle w:val="Compact"/>
        <w:numPr>
          <w:ilvl w:val="1"/>
          <w:numId w:val="6"/>
        </w:numPr>
        <w:tabs>
          <w:tab w:val="left" w:pos="1710"/>
          <w:tab w:val="left" w:pos="2430"/>
        </w:tabs>
        <w:spacing w:line="360" w:lineRule="auto"/>
        <w:ind w:left="72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b/>
          <w:sz w:val="28"/>
          <w:szCs w:val="28"/>
        </w:rPr>
        <w:t>Amortization-series reconciliation</w:t>
      </w:r>
      <w:r w:rsidRPr="009F47E0">
        <w:rPr>
          <w:rFonts w:ascii="Garamond" w:hAnsi="Garamond"/>
          <w:sz w:val="28"/>
          <w:szCs w:val="28"/>
        </w:rPr>
        <w:t xml:space="preserve"> — confirm the balances across time form one continuous pay-down.</w:t>
      </w:r>
    </w:p>
    <w:p w14:paraId="7274D95F" w14:textId="2F840C3B" w:rsidR="003E5D5C" w:rsidRPr="009F47E0" w:rsidRDefault="00000000" w:rsidP="009F47E0">
      <w:pPr>
        <w:pStyle w:val="Heading2"/>
        <w:spacing w:line="360" w:lineRule="auto"/>
        <w:rPr>
          <w:rFonts w:ascii="Garamond" w:hAnsi="Garamond"/>
        </w:rPr>
      </w:pPr>
      <w:bookmarkStart w:id="5" w:name="the-match"/>
      <w:r w:rsidRPr="009F47E0">
        <w:rPr>
          <w:rFonts w:ascii="Garamond" w:hAnsi="Garamond"/>
        </w:rPr>
        <w:t>The match</w:t>
      </w:r>
      <w:bookmarkEnd w:id="5"/>
    </w:p>
    <w:p w14:paraId="07C411DE" w14:textId="2D41017C" w:rsidR="003E5D5C" w:rsidRPr="009F47E0" w:rsidRDefault="009F47E0" w:rsidP="009F47E0">
      <w:pPr>
        <w:pStyle w:val="Compact"/>
        <w:numPr>
          <w:ilvl w:val="0"/>
          <w:numId w:val="5"/>
        </w:numPr>
        <w:tabs>
          <w:tab w:val="left" w:pos="990"/>
        </w:tabs>
        <w:spacing w:line="360" w:lineRule="auto"/>
        <w:ind w:left="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000000" w:rsidRPr="009F47E0">
        <w:rPr>
          <w:rFonts w:ascii="Garamond" w:hAnsi="Garamond"/>
          <w:sz w:val="28"/>
          <w:szCs w:val="28"/>
        </w:rPr>
        <w:t>The October 2013 Ginnie Mae II loan-level record for sequence 1013782744 matches the Note on every field:</w:t>
      </w:r>
    </w:p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2222"/>
        <w:gridCol w:w="3096"/>
        <w:gridCol w:w="3059"/>
        <w:gridCol w:w="1199"/>
      </w:tblGrid>
      <w:tr w:rsidR="003E5D5C" w:rsidRPr="009F47E0" w14:paraId="23B21C9B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7EE2AF9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Field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6F34435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Ginnie Mae public record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D8C9678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The Note / WF ledger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575650B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Match</w:t>
            </w:r>
          </w:p>
        </w:tc>
      </w:tr>
      <w:tr w:rsidR="003E5D5C" w:rsidRPr="009F47E0" w14:paraId="743C3AAD" w14:textId="77777777">
        <w:tc>
          <w:tcPr>
            <w:tcW w:w="0" w:type="auto"/>
          </w:tcPr>
          <w:p w14:paraId="03003656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Agency program</w:t>
            </w:r>
          </w:p>
        </w:tc>
        <w:tc>
          <w:tcPr>
            <w:tcW w:w="0" w:type="auto"/>
          </w:tcPr>
          <w:p w14:paraId="3A31346B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FHA</w:t>
            </w:r>
          </w:p>
        </w:tc>
        <w:tc>
          <w:tcPr>
            <w:tcW w:w="0" w:type="auto"/>
          </w:tcPr>
          <w:p w14:paraId="0CB4C90A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FHA</w:t>
            </w:r>
          </w:p>
        </w:tc>
        <w:tc>
          <w:tcPr>
            <w:tcW w:w="0" w:type="auto"/>
          </w:tcPr>
          <w:p w14:paraId="0E9138C9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</w:tr>
      <w:tr w:rsidR="003E5D5C" w:rsidRPr="009F47E0" w14:paraId="6677A4C6" w14:textId="77777777">
        <w:tc>
          <w:tcPr>
            <w:tcW w:w="0" w:type="auto"/>
          </w:tcPr>
          <w:p w14:paraId="45A3FFE0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Issuer</w:t>
            </w:r>
          </w:p>
        </w:tc>
        <w:tc>
          <w:tcPr>
            <w:tcW w:w="0" w:type="auto"/>
          </w:tcPr>
          <w:p w14:paraId="3F9C061F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3355 (Wells Fargo, N.A.)</w:t>
            </w:r>
          </w:p>
        </w:tc>
        <w:tc>
          <w:tcPr>
            <w:tcW w:w="0" w:type="auto"/>
          </w:tcPr>
          <w:p w14:paraId="5FA3B39E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Wells Fargo, N.A.</w:t>
            </w:r>
          </w:p>
        </w:tc>
        <w:tc>
          <w:tcPr>
            <w:tcW w:w="0" w:type="auto"/>
          </w:tcPr>
          <w:p w14:paraId="262EA4DE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</w:tr>
      <w:tr w:rsidR="003E5D5C" w:rsidRPr="009F47E0" w14:paraId="6E1F0ACB" w14:textId="77777777">
        <w:tc>
          <w:tcPr>
            <w:tcW w:w="0" w:type="auto"/>
          </w:tcPr>
          <w:p w14:paraId="16F92EC0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State</w:t>
            </w:r>
          </w:p>
        </w:tc>
        <w:tc>
          <w:tcPr>
            <w:tcW w:w="0" w:type="auto"/>
          </w:tcPr>
          <w:p w14:paraId="70834806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MD</w:t>
            </w:r>
          </w:p>
        </w:tc>
        <w:tc>
          <w:tcPr>
            <w:tcW w:w="0" w:type="auto"/>
          </w:tcPr>
          <w:p w14:paraId="776F0AEF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MD</w:t>
            </w:r>
          </w:p>
        </w:tc>
        <w:tc>
          <w:tcPr>
            <w:tcW w:w="0" w:type="auto"/>
          </w:tcPr>
          <w:p w14:paraId="7A035D4B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</w:tr>
      <w:tr w:rsidR="003E5D5C" w:rsidRPr="009F47E0" w14:paraId="1F13B19E" w14:textId="77777777">
        <w:tc>
          <w:tcPr>
            <w:tcW w:w="0" w:type="auto"/>
          </w:tcPr>
          <w:p w14:paraId="37EDF406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Original principal</w:t>
            </w:r>
          </w:p>
        </w:tc>
        <w:tc>
          <w:tcPr>
            <w:tcW w:w="0" w:type="auto"/>
          </w:tcPr>
          <w:p w14:paraId="3EB761C5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 xml:space="preserve">$254,000 (rounded to </w:t>
            </w:r>
            <w:proofErr w:type="gramStart"/>
            <w:r w:rsidRPr="009F47E0">
              <w:rPr>
                <w:rFonts w:ascii="Garamond" w:hAnsi="Garamond"/>
                <w:sz w:val="28"/>
                <w:szCs w:val="28"/>
              </w:rPr>
              <w:t>nearest</w:t>
            </w:r>
            <w:proofErr w:type="gramEnd"/>
            <w:r w:rsidRPr="009F47E0">
              <w:rPr>
                <w:rFonts w:ascii="Garamond" w:hAnsi="Garamond"/>
                <w:sz w:val="28"/>
                <w:szCs w:val="28"/>
              </w:rPr>
              <w:t xml:space="preserve"> $1,000)</w:t>
            </w:r>
          </w:p>
        </w:tc>
        <w:tc>
          <w:tcPr>
            <w:tcW w:w="0" w:type="auto"/>
          </w:tcPr>
          <w:p w14:paraId="1C2EA95F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$254,308</w:t>
            </w:r>
          </w:p>
        </w:tc>
        <w:tc>
          <w:tcPr>
            <w:tcW w:w="0" w:type="auto"/>
          </w:tcPr>
          <w:p w14:paraId="45245D14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</w:tr>
      <w:tr w:rsidR="003E5D5C" w:rsidRPr="009F47E0" w14:paraId="219EF5A3" w14:textId="77777777">
        <w:tc>
          <w:tcPr>
            <w:tcW w:w="0" w:type="auto"/>
          </w:tcPr>
          <w:p w14:paraId="5191BCB6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Note rate</w:t>
            </w:r>
          </w:p>
        </w:tc>
        <w:tc>
          <w:tcPr>
            <w:tcW w:w="0" w:type="auto"/>
          </w:tcPr>
          <w:p w14:paraId="5F016270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4.250%</w:t>
            </w:r>
          </w:p>
        </w:tc>
        <w:tc>
          <w:tcPr>
            <w:tcW w:w="0" w:type="auto"/>
          </w:tcPr>
          <w:p w14:paraId="532A5819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4.25%</w:t>
            </w:r>
          </w:p>
        </w:tc>
        <w:tc>
          <w:tcPr>
            <w:tcW w:w="0" w:type="auto"/>
          </w:tcPr>
          <w:p w14:paraId="1A82A920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</w:tr>
      <w:tr w:rsidR="003E5D5C" w:rsidRPr="009F47E0" w14:paraId="7E1D612E" w14:textId="77777777">
        <w:tc>
          <w:tcPr>
            <w:tcW w:w="0" w:type="auto"/>
          </w:tcPr>
          <w:p w14:paraId="6A422CDA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First payment</w:t>
            </w:r>
          </w:p>
        </w:tc>
        <w:tc>
          <w:tcPr>
            <w:tcW w:w="0" w:type="auto"/>
          </w:tcPr>
          <w:p w14:paraId="07BFA1B5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06/01/2010</w:t>
            </w:r>
          </w:p>
        </w:tc>
        <w:tc>
          <w:tcPr>
            <w:tcW w:w="0" w:type="auto"/>
          </w:tcPr>
          <w:p w14:paraId="5DAB4F8E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06/01/2010</w:t>
            </w:r>
          </w:p>
        </w:tc>
        <w:tc>
          <w:tcPr>
            <w:tcW w:w="0" w:type="auto"/>
          </w:tcPr>
          <w:p w14:paraId="1017DA46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</w:tr>
      <w:tr w:rsidR="003E5D5C" w:rsidRPr="009F47E0" w14:paraId="5704F2E1" w14:textId="77777777">
        <w:tc>
          <w:tcPr>
            <w:tcW w:w="0" w:type="auto"/>
          </w:tcPr>
          <w:p w14:paraId="482612ED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Maturity</w:t>
            </w:r>
          </w:p>
        </w:tc>
        <w:tc>
          <w:tcPr>
            <w:tcW w:w="0" w:type="auto"/>
          </w:tcPr>
          <w:p w14:paraId="77B0F99E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05/01/2040</w:t>
            </w:r>
          </w:p>
        </w:tc>
        <w:tc>
          <w:tcPr>
            <w:tcW w:w="0" w:type="auto"/>
          </w:tcPr>
          <w:p w14:paraId="5B651556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05/01/2040</w:t>
            </w:r>
          </w:p>
        </w:tc>
        <w:tc>
          <w:tcPr>
            <w:tcW w:w="0" w:type="auto"/>
          </w:tcPr>
          <w:p w14:paraId="4FF076A8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</w:tr>
      <w:tr w:rsidR="003E5D5C" w:rsidRPr="009F47E0" w14:paraId="163F5AD5" w14:textId="77777777">
        <w:tc>
          <w:tcPr>
            <w:tcW w:w="0" w:type="auto"/>
          </w:tcPr>
          <w:p w14:paraId="73E6987F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Pool type</w:t>
            </w:r>
          </w:p>
        </w:tc>
        <w:tc>
          <w:tcPr>
            <w:tcW w:w="0" w:type="auto"/>
          </w:tcPr>
          <w:p w14:paraId="70753C84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AF (adjustable-rate, FHA)</w:t>
            </w:r>
          </w:p>
        </w:tc>
        <w:tc>
          <w:tcPr>
            <w:tcW w:w="0" w:type="auto"/>
          </w:tcPr>
          <w:p w14:paraId="5C9F81DF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FHA ARM</w:t>
            </w:r>
          </w:p>
        </w:tc>
        <w:tc>
          <w:tcPr>
            <w:tcW w:w="0" w:type="auto"/>
          </w:tcPr>
          <w:p w14:paraId="6E4633D5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</w:tr>
      <w:tr w:rsidR="003E5D5C" w:rsidRPr="009F47E0" w14:paraId="2B282A37" w14:textId="77777777">
        <w:tc>
          <w:tcPr>
            <w:tcW w:w="0" w:type="auto"/>
          </w:tcPr>
          <w:p w14:paraId="178C58F3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b/>
                <w:sz w:val="28"/>
                <w:szCs w:val="28"/>
              </w:rPr>
              <w:t>Current unpaid balance</w:t>
            </w:r>
          </w:p>
        </w:tc>
        <w:tc>
          <w:tcPr>
            <w:tcW w:w="0" w:type="auto"/>
          </w:tcPr>
          <w:p w14:paraId="7E3D2543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b/>
                <w:sz w:val="28"/>
                <w:szCs w:val="28"/>
              </w:rPr>
              <w:t>$230,478.84</w:t>
            </w:r>
          </w:p>
        </w:tc>
        <w:tc>
          <w:tcPr>
            <w:tcW w:w="0" w:type="auto"/>
          </w:tcPr>
          <w:p w14:paraId="0ACB6405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b/>
                <w:sz w:val="28"/>
                <w:szCs w:val="28"/>
              </w:rPr>
              <w:t>$230,478.84</w:t>
            </w:r>
            <w:r w:rsidRPr="009F47E0">
              <w:rPr>
                <w:rFonts w:ascii="Garamond" w:hAnsi="Garamond"/>
                <w:sz w:val="28"/>
                <w:szCs w:val="28"/>
              </w:rPr>
              <w:t xml:space="preserve"> (WF ledger, Nov. 2013)</w:t>
            </w:r>
          </w:p>
        </w:tc>
        <w:tc>
          <w:tcPr>
            <w:tcW w:w="0" w:type="auto"/>
          </w:tcPr>
          <w:p w14:paraId="37C8BDDA" w14:textId="77777777" w:rsidR="003E5D5C" w:rsidRPr="009F47E0" w:rsidRDefault="00000000" w:rsidP="009F47E0">
            <w:pPr>
              <w:pStyle w:val="Compac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Segoe UI Symbol" w:hAnsi="Segoe UI Symbol" w:cs="Segoe UI Symbol"/>
                <w:b/>
                <w:sz w:val="28"/>
                <w:szCs w:val="28"/>
              </w:rPr>
              <w:t>✓</w:t>
            </w:r>
            <w:r w:rsidRPr="009F47E0">
              <w:rPr>
                <w:rFonts w:ascii="Garamond" w:hAnsi="Garamond"/>
                <w:b/>
                <w:sz w:val="28"/>
                <w:szCs w:val="28"/>
              </w:rPr>
              <w:t xml:space="preserve"> (exact)</w:t>
            </w:r>
          </w:p>
        </w:tc>
      </w:tr>
    </w:tbl>
    <w:p w14:paraId="6B2BF9BE" w14:textId="7DA33D52" w:rsidR="009F47E0" w:rsidRDefault="009F47E0" w:rsidP="009F47E0">
      <w:pPr>
        <w:pStyle w:val="BodyText"/>
        <w:numPr>
          <w:ilvl w:val="0"/>
          <w:numId w:val="5"/>
        </w:numPr>
        <w:tabs>
          <w:tab w:val="left" w:pos="990"/>
        </w:tabs>
        <w:spacing w:line="360" w:lineRule="auto"/>
        <w:ind w:left="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000000" w:rsidRPr="009F47E0">
        <w:rPr>
          <w:rFonts w:ascii="Garamond" w:hAnsi="Garamond"/>
          <w:sz w:val="28"/>
          <w:szCs w:val="28"/>
        </w:rPr>
        <w:t xml:space="preserve">The penny-exact balance is the disambiguator: a coincidental $254,000 loan would </w:t>
      </w:r>
      <w:proofErr w:type="gramStart"/>
      <w:r w:rsidR="00000000" w:rsidRPr="009F47E0">
        <w:rPr>
          <w:rFonts w:ascii="Garamond" w:hAnsi="Garamond"/>
          <w:sz w:val="28"/>
          <w:szCs w:val="28"/>
        </w:rPr>
        <w:t>not also</w:t>
      </w:r>
      <w:proofErr w:type="gramEnd"/>
      <w:r w:rsidR="00000000" w:rsidRPr="009F47E0">
        <w:rPr>
          <w:rFonts w:ascii="Garamond" w:hAnsi="Garamond"/>
          <w:sz w:val="28"/>
          <w:szCs w:val="28"/>
        </w:rPr>
        <w:t xml:space="preserve"> carry the Note’s exact balance to the cent in the same month. Among all Maryland 4.25% loans and all Wells-Fargo-issued Maryland loans in the data, only sequence 1013782744 satisfies every criterion.</w:t>
      </w:r>
      <w:bookmarkStart w:id="6" w:name="the-scale-of-the-search"/>
    </w:p>
    <w:p w14:paraId="64DF50C3" w14:textId="77777777" w:rsidR="009F47E0" w:rsidRDefault="009F47E0" w:rsidP="009F47E0">
      <w:pPr>
        <w:pStyle w:val="BodyText"/>
        <w:spacing w:line="360" w:lineRule="auto"/>
        <w:rPr>
          <w:rFonts w:ascii="Garamond" w:hAnsi="Garamond"/>
          <w:sz w:val="28"/>
          <w:szCs w:val="28"/>
        </w:rPr>
      </w:pPr>
    </w:p>
    <w:p w14:paraId="7CFF36A9" w14:textId="77777777" w:rsidR="009F47E0" w:rsidRDefault="009F47E0" w:rsidP="009F47E0">
      <w:pPr>
        <w:pStyle w:val="BodyText"/>
        <w:spacing w:line="360" w:lineRule="auto"/>
        <w:rPr>
          <w:rFonts w:ascii="Garamond" w:hAnsi="Garamond"/>
          <w:sz w:val="28"/>
          <w:szCs w:val="28"/>
        </w:rPr>
      </w:pPr>
    </w:p>
    <w:p w14:paraId="7F37480E" w14:textId="77777777" w:rsidR="009F47E0" w:rsidRDefault="009F47E0" w:rsidP="009F47E0">
      <w:pPr>
        <w:pStyle w:val="BodyText"/>
        <w:spacing w:line="360" w:lineRule="auto"/>
        <w:rPr>
          <w:rFonts w:ascii="Garamond" w:hAnsi="Garamond"/>
          <w:sz w:val="28"/>
          <w:szCs w:val="28"/>
        </w:rPr>
      </w:pPr>
    </w:p>
    <w:p w14:paraId="700D3E84" w14:textId="65E0E17C" w:rsidR="003E5D5C" w:rsidRDefault="00000000" w:rsidP="009F47E0">
      <w:pPr>
        <w:pStyle w:val="BodyText"/>
        <w:spacing w:line="360" w:lineRule="auto"/>
        <w:rPr>
          <w:rFonts w:ascii="Garamond" w:hAnsi="Garamond"/>
          <w:b/>
          <w:bCs/>
          <w:color w:val="4F81BD" w:themeColor="accent1"/>
          <w:sz w:val="28"/>
          <w:szCs w:val="28"/>
        </w:rPr>
      </w:pPr>
      <w:r w:rsidRPr="009F47E0">
        <w:rPr>
          <w:rFonts w:ascii="Garamond" w:hAnsi="Garamond"/>
          <w:b/>
          <w:bCs/>
          <w:color w:val="4F81BD" w:themeColor="accent1"/>
          <w:sz w:val="28"/>
          <w:szCs w:val="28"/>
        </w:rPr>
        <w:t>The scale of the search</w:t>
      </w:r>
      <w:bookmarkEnd w:id="6"/>
    </w:p>
    <w:p w14:paraId="47242F6F" w14:textId="77777777" w:rsidR="003E5D5C" w:rsidRDefault="00000000" w:rsidP="009F47E0">
      <w:pPr>
        <w:pStyle w:val="Compact"/>
        <w:numPr>
          <w:ilvl w:val="0"/>
          <w:numId w:val="8"/>
        </w:numPr>
        <w:tabs>
          <w:tab w:val="left" w:pos="990"/>
          <w:tab w:val="left" w:pos="1080"/>
        </w:tabs>
        <w:spacing w:line="480" w:lineRule="auto"/>
        <w:ind w:left="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To reach that single record, I parsed </w:t>
      </w:r>
      <w:r w:rsidRPr="009F47E0">
        <w:rPr>
          <w:rFonts w:ascii="Garamond" w:hAnsi="Garamond"/>
          <w:b/>
          <w:sz w:val="28"/>
          <w:szCs w:val="28"/>
        </w:rPr>
        <w:t>more than one hundred million</w:t>
      </w:r>
      <w:r w:rsidRPr="009F47E0">
        <w:rPr>
          <w:rFonts w:ascii="Garamond" w:hAnsi="Garamond"/>
          <w:sz w:val="28"/>
          <w:szCs w:val="28"/>
        </w:rPr>
        <w:t xml:space="preserve"> individual loan records across more than a dozen complete Ginnie Mae monthly disclosure files. The re-pool </w:t>
      </w:r>
      <w:r w:rsidRPr="009F47E0">
        <w:rPr>
          <w:rFonts w:ascii="Garamond" w:hAnsi="Garamond"/>
          <w:b/>
          <w:sz w:val="28"/>
          <w:szCs w:val="28"/>
        </w:rPr>
        <w:t xml:space="preserve">elimination </w:t>
      </w:r>
      <w:proofErr w:type="gramStart"/>
      <w:r w:rsidRPr="009F47E0">
        <w:rPr>
          <w:rFonts w:ascii="Garamond" w:hAnsi="Garamond"/>
          <w:b/>
          <w:sz w:val="28"/>
          <w:szCs w:val="28"/>
        </w:rPr>
        <w:t>sweep</w:t>
      </w:r>
      <w:proofErr w:type="gramEnd"/>
      <w:r w:rsidRPr="009F47E0">
        <w:rPr>
          <w:rFonts w:ascii="Garamond" w:hAnsi="Garamond"/>
          <w:sz w:val="28"/>
          <w:szCs w:val="28"/>
        </w:rPr>
        <w:t xml:space="preserve"> alone streamed </w:t>
      </w:r>
      <w:r w:rsidRPr="009F47E0">
        <w:rPr>
          <w:rFonts w:ascii="Garamond" w:hAnsi="Garamond"/>
          <w:b/>
          <w:sz w:val="28"/>
          <w:szCs w:val="28"/>
        </w:rPr>
        <w:t>nine complete Ginnie Mae II monthly files</w:t>
      </w:r>
      <w:r w:rsidRPr="009F47E0">
        <w:rPr>
          <w:rFonts w:ascii="Garamond" w:hAnsi="Garamond"/>
          <w:sz w:val="28"/>
          <w:szCs w:val="28"/>
        </w:rPr>
        <w:t xml:space="preserve"> spanning 2021 through 2026 — </w:t>
      </w:r>
      <w:r w:rsidRPr="009F47E0">
        <w:rPr>
          <w:rFonts w:ascii="Garamond" w:hAnsi="Garamond"/>
          <w:b/>
          <w:sz w:val="28"/>
          <w:szCs w:val="28"/>
        </w:rPr>
        <w:t>97,318,235</w:t>
      </w:r>
      <w:r w:rsidRPr="009F47E0">
        <w:rPr>
          <w:rFonts w:ascii="Garamond" w:hAnsi="Garamond"/>
          <w:sz w:val="28"/>
          <w:szCs w:val="28"/>
        </w:rPr>
        <w:t xml:space="preserve"> loan records — and returned </w:t>
      </w:r>
      <w:r w:rsidRPr="009F47E0">
        <w:rPr>
          <w:rFonts w:ascii="Garamond" w:hAnsi="Garamond"/>
          <w:b/>
          <w:sz w:val="28"/>
          <w:szCs w:val="28"/>
        </w:rPr>
        <w:t>zero</w:t>
      </w:r>
      <w:r w:rsidRPr="009F47E0">
        <w:rPr>
          <w:rFonts w:ascii="Garamond" w:hAnsi="Garamond"/>
          <w:sz w:val="28"/>
          <w:szCs w:val="28"/>
        </w:rPr>
        <w:t xml:space="preserve"> Maryland re-pool match (four additional months had no complete file published and were logged as gaps). The cross-check files added the April 2021 Ginnie II file (</w:t>
      </w:r>
      <w:r w:rsidRPr="009F47E0">
        <w:rPr>
          <w:rFonts w:ascii="Garamond" w:hAnsi="Garamond"/>
          <w:b/>
          <w:sz w:val="28"/>
          <w:szCs w:val="28"/>
        </w:rPr>
        <w:t>10,273,191</w:t>
      </w:r>
      <w:r w:rsidRPr="009F47E0">
        <w:rPr>
          <w:rFonts w:ascii="Garamond" w:hAnsi="Garamond"/>
          <w:sz w:val="28"/>
          <w:szCs w:val="28"/>
        </w:rPr>
        <w:t xml:space="preserve"> records) and the December 2020 Ginnie I file (</w:t>
      </w:r>
      <w:r w:rsidRPr="009F47E0">
        <w:rPr>
          <w:rFonts w:ascii="Garamond" w:hAnsi="Garamond"/>
          <w:b/>
          <w:sz w:val="28"/>
          <w:szCs w:val="28"/>
        </w:rPr>
        <w:t>1,327,885</w:t>
      </w:r>
      <w:r w:rsidRPr="009F47E0">
        <w:rPr>
          <w:rFonts w:ascii="Garamond" w:hAnsi="Garamond"/>
          <w:sz w:val="28"/>
          <w:szCs w:val="28"/>
        </w:rPr>
        <w:t xml:space="preserve"> records). One record survived.</w:t>
      </w:r>
    </w:p>
    <w:p w14:paraId="1C98CC6F" w14:textId="77777777" w:rsidR="009F47E0" w:rsidRDefault="009F47E0" w:rsidP="009F47E0">
      <w:pPr>
        <w:pStyle w:val="Compact"/>
        <w:tabs>
          <w:tab w:val="left" w:pos="990"/>
          <w:tab w:val="left" w:pos="1080"/>
        </w:tabs>
        <w:spacing w:line="360" w:lineRule="auto"/>
        <w:rPr>
          <w:rFonts w:ascii="Garamond" w:hAnsi="Garamond"/>
          <w:sz w:val="28"/>
          <w:szCs w:val="28"/>
        </w:rPr>
      </w:pPr>
    </w:p>
    <w:p w14:paraId="523C9B4D" w14:textId="07E95189" w:rsidR="003E5D5C" w:rsidRDefault="00000000" w:rsidP="009F47E0">
      <w:pPr>
        <w:pStyle w:val="Heading2"/>
        <w:tabs>
          <w:tab w:val="left" w:pos="1080"/>
        </w:tabs>
        <w:spacing w:line="360" w:lineRule="auto"/>
        <w:rPr>
          <w:rFonts w:ascii="Garamond" w:hAnsi="Garamond"/>
        </w:rPr>
      </w:pPr>
      <w:bookmarkStart w:id="7" w:name="Xf5549ea9f687b36ae8a942d100ddc3a9b1b75e6"/>
      <w:r w:rsidRPr="009F47E0">
        <w:rPr>
          <w:rFonts w:ascii="Garamond" w:hAnsi="Garamond"/>
        </w:rPr>
        <w:t>Technological assistance and verification — candor</w:t>
      </w:r>
      <w:bookmarkEnd w:id="7"/>
    </w:p>
    <w:p w14:paraId="0E1F16D1" w14:textId="77777777" w:rsidR="009F47E0" w:rsidRPr="009F47E0" w:rsidRDefault="009F47E0" w:rsidP="009F47E0">
      <w:pPr>
        <w:pStyle w:val="BodyText"/>
      </w:pPr>
    </w:p>
    <w:p w14:paraId="3196A4B7" w14:textId="77777777" w:rsidR="009F47E0" w:rsidRDefault="00000000" w:rsidP="009F47E0">
      <w:pPr>
        <w:pStyle w:val="Compact"/>
        <w:numPr>
          <w:ilvl w:val="0"/>
          <w:numId w:val="9"/>
        </w:numPr>
        <w:tabs>
          <w:tab w:val="left" w:pos="990"/>
        </w:tabs>
        <w:spacing w:line="480" w:lineRule="auto"/>
        <w:ind w:left="0" w:firstLine="720"/>
        <w:rPr>
          <w:rFonts w:ascii="Garamond" w:hAnsi="Garamond"/>
          <w:sz w:val="28"/>
          <w:szCs w:val="28"/>
        </w:rPr>
        <w:sectPr w:rsidR="009F47E0">
          <w:pgSz w:w="12240" w:h="15840"/>
          <w:pgMar w:top="1440" w:right="1440" w:bottom="1440" w:left="1440" w:header="720" w:footer="720" w:gutter="0"/>
          <w:cols w:space="720"/>
        </w:sectPr>
      </w:pPr>
      <w:r w:rsidRPr="009F47E0">
        <w:rPr>
          <w:rFonts w:ascii="Garamond" w:hAnsi="Garamond"/>
          <w:sz w:val="28"/>
          <w:szCs w:val="28"/>
        </w:rPr>
        <w:t xml:space="preserve">The analysis was </w:t>
      </w:r>
      <w:r w:rsidRPr="009F47E0">
        <w:rPr>
          <w:rFonts w:ascii="Garamond" w:hAnsi="Garamond"/>
          <w:b/>
          <w:sz w:val="28"/>
          <w:szCs w:val="28"/>
        </w:rPr>
        <w:t>technologically assisted</w:t>
      </w:r>
      <w:r w:rsidRPr="009F47E0">
        <w:rPr>
          <w:rFonts w:ascii="Garamond" w:hAnsi="Garamond"/>
          <w:sz w:val="28"/>
          <w:szCs w:val="28"/>
        </w:rPr>
        <w:t xml:space="preserve">: I directed an AI analytical system and automated parsing to read the large public files and apply the match. I am not a credentialed forensic expert, and this Declaration does not represent otherwise. I personally verified every figure stated herein against the underlying public file and Wells Fargo’s produced records before signing. The conclusion does not depend on credentials; it is </w:t>
      </w:r>
      <w:r w:rsidRPr="009F47E0">
        <w:rPr>
          <w:rFonts w:ascii="Garamond" w:hAnsi="Garamond"/>
          <w:b/>
          <w:sz w:val="28"/>
          <w:szCs w:val="28"/>
        </w:rPr>
        <w:t>reproducible</w:t>
      </w:r>
      <w:r w:rsidRPr="009F47E0">
        <w:rPr>
          <w:rFonts w:ascii="Garamond" w:hAnsi="Garamond"/>
          <w:sz w:val="28"/>
          <w:szCs w:val="28"/>
        </w:rPr>
        <w:t xml:space="preserve"> — any person may download the same public files and repeat the link to reach the same record.</w:t>
      </w:r>
    </w:p>
    <w:p w14:paraId="07F7F924" w14:textId="118D0B22" w:rsidR="003E5D5C" w:rsidRPr="009F47E0" w:rsidRDefault="00000000" w:rsidP="009F47E0">
      <w:pPr>
        <w:pStyle w:val="Heading2"/>
        <w:tabs>
          <w:tab w:val="left" w:pos="1080"/>
        </w:tabs>
        <w:spacing w:before="0" w:line="360" w:lineRule="auto"/>
        <w:rPr>
          <w:rFonts w:ascii="Garamond" w:hAnsi="Garamond"/>
        </w:rPr>
      </w:pPr>
      <w:bookmarkStart w:id="8" w:name="X31e4b224852d3a270495503f7e779f4b5e0aa63"/>
      <w:r w:rsidRPr="009F47E0">
        <w:rPr>
          <w:rFonts w:ascii="Garamond" w:hAnsi="Garamond"/>
        </w:rPr>
        <w:t>SOURCE-FILE PROVENANCE — every original Ginnie Mae file relied upon</w:t>
      </w:r>
      <w:bookmarkEnd w:id="8"/>
    </w:p>
    <w:p w14:paraId="4F1D9858" w14:textId="286185BF" w:rsidR="003E5D5C" w:rsidRDefault="00000000" w:rsidP="009F47E0">
      <w:pPr>
        <w:pStyle w:val="Compact"/>
        <w:numPr>
          <w:ilvl w:val="0"/>
          <w:numId w:val="10"/>
        </w:numPr>
        <w:tabs>
          <w:tab w:val="left" w:pos="990"/>
          <w:tab w:val="left" w:pos="1080"/>
        </w:tabs>
        <w:spacing w:line="276" w:lineRule="auto"/>
        <w:ind w:left="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The following table lists each original Ginnie Mae public file, whether the Note’s record </w:t>
      </w:r>
      <w:r w:rsidRPr="009F47E0">
        <w:rPr>
          <w:rFonts w:ascii="Garamond" w:hAnsi="Garamond"/>
          <w:b/>
          <w:sz w:val="28"/>
          <w:szCs w:val="28"/>
        </w:rPr>
        <w:t>appears</w:t>
      </w:r>
      <w:r w:rsidRPr="009F47E0">
        <w:rPr>
          <w:rFonts w:ascii="Garamond" w:hAnsi="Garamond"/>
          <w:sz w:val="28"/>
          <w:szCs w:val="28"/>
        </w:rPr>
        <w:t xml:space="preserve"> in it, the datum it supplies, and where that datum is used</w:t>
      </w:r>
      <w:r w:rsidR="009F47E0">
        <w:rPr>
          <w:rFonts w:ascii="Garamond" w:hAnsi="Garamond"/>
          <w:sz w:val="28"/>
          <w:szCs w:val="28"/>
        </w:rPr>
        <w:t>.</w:t>
      </w:r>
      <w:r w:rsidRPr="009F47E0">
        <w:rPr>
          <w:rFonts w:ascii="Garamond" w:hAnsi="Garamond"/>
          <w:sz w:val="28"/>
          <w:szCs w:val="28"/>
        </w:rPr>
        <w:t xml:space="preserve"> this Declaration and in the accompanying comparison demonstratives:</w:t>
      </w:r>
    </w:p>
    <w:tbl>
      <w:tblPr>
        <w:tblStyle w:val="Table"/>
        <w:tblpPr w:leftFromText="180" w:rightFromText="180" w:vertAnchor="text" w:horzAnchor="margin" w:tblpXSpec="center" w:tblpY="98"/>
        <w:tblW w:w="5367" w:type="pct"/>
        <w:tblLayout w:type="fixed"/>
        <w:tblLook w:val="07E0" w:firstRow="1" w:lastRow="1" w:firstColumn="1" w:lastColumn="1" w:noHBand="1" w:noVBand="1"/>
      </w:tblPr>
      <w:tblGrid>
        <w:gridCol w:w="20"/>
        <w:gridCol w:w="359"/>
        <w:gridCol w:w="1887"/>
        <w:gridCol w:w="90"/>
        <w:gridCol w:w="810"/>
        <w:gridCol w:w="89"/>
        <w:gridCol w:w="125"/>
        <w:gridCol w:w="53"/>
        <w:gridCol w:w="993"/>
        <w:gridCol w:w="183"/>
        <w:gridCol w:w="87"/>
        <w:gridCol w:w="38"/>
        <w:gridCol w:w="2298"/>
        <w:gridCol w:w="184"/>
        <w:gridCol w:w="122"/>
        <w:gridCol w:w="1140"/>
        <w:gridCol w:w="88"/>
        <w:gridCol w:w="1625"/>
        <w:gridCol w:w="88"/>
      </w:tblGrid>
      <w:tr w:rsidR="009F47E0" w:rsidRPr="009F47E0" w14:paraId="3AD60A77" w14:textId="77777777" w:rsidTr="009F47E0">
        <w:tc>
          <w:tcPr>
            <w:tcW w:w="379" w:type="dxa"/>
            <w:gridSpan w:val="2"/>
            <w:tcBorders>
              <w:bottom w:val="single" w:sz="0" w:space="0" w:color="auto"/>
            </w:tcBorders>
            <w:vAlign w:val="bottom"/>
          </w:tcPr>
          <w:p w14:paraId="43DDBE3B" w14:textId="77777777" w:rsidR="009F47E0" w:rsidRPr="009F47E0" w:rsidRDefault="009F47E0" w:rsidP="009F47E0">
            <w:pPr>
              <w:pStyle w:val="Compact"/>
              <w:ind w:left="720"/>
              <w:rPr>
                <w:rFonts w:ascii="Garamond" w:hAnsi="Garamond"/>
                <w:sz w:val="28"/>
                <w:szCs w:val="28"/>
              </w:rPr>
            </w:pPr>
            <w:r w:rsidRPr="009F47E0">
              <w:rPr>
                <w:rFonts w:ascii="Garamond" w:hAnsi="Garamond"/>
                <w:sz w:val="28"/>
                <w:szCs w:val="28"/>
              </w:rPr>
              <w:t>#</w:t>
            </w:r>
          </w:p>
        </w:tc>
        <w:tc>
          <w:tcPr>
            <w:tcW w:w="1887" w:type="dxa"/>
            <w:tcBorders>
              <w:bottom w:val="single" w:sz="0" w:space="0" w:color="auto"/>
            </w:tcBorders>
            <w:vAlign w:val="bottom"/>
          </w:tcPr>
          <w:p w14:paraId="2CD7B63A" w14:textId="77777777" w:rsidR="009F47E0" w:rsidRPr="009F47E0" w:rsidRDefault="009F47E0" w:rsidP="009F47E0">
            <w:pPr>
              <w:pStyle w:val="Compact"/>
              <w:ind w:left="-18" w:right="339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>Original Ginnie Mae file</w:t>
            </w:r>
          </w:p>
          <w:p w14:paraId="6A768BE9" w14:textId="77777777" w:rsidR="009F47E0" w:rsidRPr="009F47E0" w:rsidRDefault="009F47E0" w:rsidP="009F47E0">
            <w:pPr>
              <w:pStyle w:val="Compact"/>
              <w:ind w:left="-18" w:right="30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>(public, ginniemae.gov)</w:t>
            </w:r>
          </w:p>
        </w:tc>
        <w:tc>
          <w:tcPr>
            <w:tcW w:w="1167" w:type="dxa"/>
            <w:gridSpan w:val="5"/>
            <w:tcBorders>
              <w:bottom w:val="single" w:sz="0" w:space="0" w:color="auto"/>
            </w:tcBorders>
            <w:vAlign w:val="bottom"/>
          </w:tcPr>
          <w:p w14:paraId="60E2565D" w14:textId="77777777" w:rsidR="009F47E0" w:rsidRPr="009F47E0" w:rsidRDefault="009F47E0" w:rsidP="009F47E0">
            <w:pPr>
              <w:pStyle w:val="Compact"/>
              <w:ind w:left="-64" w:right="-321" w:hanging="4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1263" w:type="dxa"/>
            <w:gridSpan w:val="3"/>
            <w:tcBorders>
              <w:bottom w:val="single" w:sz="0" w:space="0" w:color="auto"/>
            </w:tcBorders>
            <w:vAlign w:val="bottom"/>
          </w:tcPr>
          <w:p w14:paraId="66181D20" w14:textId="77777777" w:rsidR="009F47E0" w:rsidRDefault="009F47E0" w:rsidP="009F47E0">
            <w:pPr>
              <w:pStyle w:val="Compact"/>
              <w:ind w:left="-108" w:right="-158" w:hanging="2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 xml:space="preserve">Record </w:t>
            </w:r>
          </w:p>
          <w:p w14:paraId="462251AE" w14:textId="77777777" w:rsidR="009F47E0" w:rsidRPr="009F47E0" w:rsidRDefault="009F47E0" w:rsidP="009F47E0">
            <w:pPr>
              <w:pStyle w:val="Compact"/>
              <w:ind w:left="-20" w:right="-15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2520" w:type="dxa"/>
            <w:gridSpan w:val="3"/>
            <w:tcBorders>
              <w:bottom w:val="single" w:sz="0" w:space="0" w:color="auto"/>
            </w:tcBorders>
            <w:vAlign w:val="bottom"/>
          </w:tcPr>
          <w:p w14:paraId="2DA4601F" w14:textId="77777777" w:rsidR="009F47E0" w:rsidRPr="009F47E0" w:rsidRDefault="009F47E0" w:rsidP="009F47E0">
            <w:pPr>
              <w:pStyle w:val="Compact"/>
              <w:ind w:left="-18" w:right="-10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>Datum  supplied</w:t>
            </w:r>
          </w:p>
        </w:tc>
        <w:tc>
          <w:tcPr>
            <w:tcW w:w="1350" w:type="dxa"/>
            <w:gridSpan w:val="3"/>
            <w:tcBorders>
              <w:bottom w:val="single" w:sz="0" w:space="0" w:color="auto"/>
            </w:tcBorders>
            <w:vAlign w:val="bottom"/>
          </w:tcPr>
          <w:p w14:paraId="16084BEC" w14:textId="77777777" w:rsidR="009F47E0" w:rsidRDefault="009F47E0" w:rsidP="009F47E0">
            <w:pPr>
              <w:pStyle w:val="Compact"/>
              <w:ind w:left="-108" w:right="-732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 xml:space="preserve">Used in this </w:t>
            </w:r>
          </w:p>
          <w:p w14:paraId="57555B39" w14:textId="77777777" w:rsidR="009F47E0" w:rsidRPr="009F47E0" w:rsidRDefault="009F47E0" w:rsidP="009F47E0">
            <w:pPr>
              <w:pStyle w:val="Compact"/>
              <w:ind w:left="-108" w:right="-732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>Declaration</w:t>
            </w:r>
          </w:p>
        </w:tc>
        <w:tc>
          <w:tcPr>
            <w:tcW w:w="1713" w:type="dxa"/>
            <w:gridSpan w:val="2"/>
            <w:tcBorders>
              <w:bottom w:val="single" w:sz="0" w:space="0" w:color="auto"/>
            </w:tcBorders>
            <w:vAlign w:val="bottom"/>
          </w:tcPr>
          <w:p w14:paraId="00998648" w14:textId="77777777" w:rsidR="009F47E0" w:rsidRDefault="009F47E0" w:rsidP="009F47E0">
            <w:pPr>
              <w:pStyle w:val="Compact"/>
              <w:ind w:left="-24" w:right="78" w:firstLine="6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>Used in comparison/</w:t>
            </w:r>
          </w:p>
          <w:p w14:paraId="1CC13334" w14:textId="77777777" w:rsidR="009F47E0" w:rsidRPr="009F47E0" w:rsidRDefault="009F47E0" w:rsidP="009F47E0">
            <w:pPr>
              <w:pStyle w:val="Compact"/>
              <w:ind w:left="-24" w:right="78" w:firstLine="6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bCs/>
                <w:sz w:val="20"/>
                <w:szCs w:val="20"/>
              </w:rPr>
              <w:t>demonstrative</w:t>
            </w:r>
          </w:p>
        </w:tc>
      </w:tr>
      <w:tr w:rsidR="009F47E0" w:rsidRPr="009F47E0" w14:paraId="3FE24E6A" w14:textId="77777777" w:rsidTr="009F47E0">
        <w:trPr>
          <w:gridBefore w:val="1"/>
          <w:wBefore w:w="20" w:type="dxa"/>
        </w:trPr>
        <w:tc>
          <w:tcPr>
            <w:tcW w:w="359" w:type="dxa"/>
          </w:tcPr>
          <w:p w14:paraId="405C3B87" w14:textId="77777777" w:rsidR="009F47E0" w:rsidRPr="009F47E0" w:rsidRDefault="009F47E0" w:rsidP="009F47E0">
            <w:pPr>
              <w:pStyle w:val="Compact"/>
              <w:tabs>
                <w:tab w:val="left" w:pos="206"/>
              </w:tabs>
              <w:spacing w:before="0" w:after="0"/>
              <w:ind w:left="-26" w:right="-1998" w:firstLine="20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</w:tcPr>
          <w:p w14:paraId="2D64865B" w14:textId="77777777" w:rsidR="009F47E0" w:rsidRPr="009F47E0" w:rsidRDefault="009F47E0" w:rsidP="009F47E0">
            <w:pPr>
              <w:pStyle w:val="Compact"/>
              <w:ind w:right="-1998"/>
              <w:rPr>
                <w:rStyle w:val="VerbatimChar"/>
                <w:rFonts w:ascii="Garamond" w:hAnsi="Garamond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04832282" w14:textId="77777777" w:rsidR="009F47E0" w:rsidRP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0" w:type="dxa"/>
            <w:gridSpan w:val="4"/>
          </w:tcPr>
          <w:p w14:paraId="35CF99B6" w14:textId="77777777" w:rsidR="009F47E0" w:rsidRPr="009F47E0" w:rsidRDefault="009F47E0" w:rsidP="009F47E0">
            <w:pPr>
              <w:pStyle w:val="Compact"/>
              <w:ind w:left="156" w:right="-204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06" w:type="dxa"/>
            <w:gridSpan w:val="4"/>
          </w:tcPr>
          <w:p w14:paraId="7848B5B4" w14:textId="77777777" w:rsidR="009F47E0" w:rsidRPr="009F47E0" w:rsidRDefault="009F47E0" w:rsidP="009F47E0">
            <w:pPr>
              <w:pStyle w:val="Compact"/>
              <w:ind w:left="246" w:right="-30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34" w:type="dxa"/>
            <w:gridSpan w:val="4"/>
          </w:tcPr>
          <w:p w14:paraId="186FAB63" w14:textId="77777777" w:rsidR="009F47E0" w:rsidRPr="009F47E0" w:rsidRDefault="009F47E0" w:rsidP="009F47E0">
            <w:pPr>
              <w:pStyle w:val="Compact"/>
              <w:ind w:left="162" w:right="-45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13" w:type="dxa"/>
            <w:gridSpan w:val="2"/>
          </w:tcPr>
          <w:p w14:paraId="0F0EA526" w14:textId="77777777" w:rsidR="009F47E0" w:rsidRDefault="009F47E0" w:rsidP="009F47E0">
            <w:pPr>
              <w:pStyle w:val="Compact"/>
              <w:ind w:right="-112"/>
              <w:rPr>
                <w:rFonts w:ascii="Garamond" w:hAnsi="Garamond"/>
                <w:sz w:val="20"/>
                <w:szCs w:val="20"/>
              </w:rPr>
            </w:pPr>
          </w:p>
        </w:tc>
      </w:tr>
      <w:tr w:rsidR="009F47E0" w:rsidRPr="009F47E0" w14:paraId="5E48338C" w14:textId="77777777" w:rsidTr="009F47E0">
        <w:trPr>
          <w:gridBefore w:val="1"/>
          <w:wBefore w:w="20" w:type="dxa"/>
        </w:trPr>
        <w:tc>
          <w:tcPr>
            <w:tcW w:w="359" w:type="dxa"/>
          </w:tcPr>
          <w:p w14:paraId="67E70768" w14:textId="77777777" w:rsidR="009F47E0" w:rsidRPr="009F47E0" w:rsidRDefault="009F47E0" w:rsidP="009F47E0">
            <w:pPr>
              <w:pStyle w:val="Compact"/>
              <w:tabs>
                <w:tab w:val="left" w:pos="206"/>
              </w:tabs>
              <w:ind w:left="-26" w:right="-1998" w:firstLine="20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F47E0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87" w:type="dxa"/>
          </w:tcPr>
          <w:p w14:paraId="251404E3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llmon2_201310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C0C45B8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(Ginnie II loan-level)</w:t>
            </w:r>
          </w:p>
        </w:tc>
        <w:tc>
          <w:tcPr>
            <w:tcW w:w="900" w:type="dxa"/>
            <w:gridSpan w:val="2"/>
          </w:tcPr>
          <w:p w14:paraId="4DDB61BC" w14:textId="77777777" w:rsidR="009F47E0" w:rsidRPr="009F47E0" w:rsidRDefault="009F47E0" w:rsidP="009F47E0">
            <w:pPr>
              <w:pStyle w:val="Compact"/>
              <w:ind w:left="-48" w:right="-246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Oct 2013</w:t>
            </w:r>
          </w:p>
        </w:tc>
        <w:tc>
          <w:tcPr>
            <w:tcW w:w="1260" w:type="dxa"/>
            <w:gridSpan w:val="4"/>
          </w:tcPr>
          <w:p w14:paraId="7441447B" w14:textId="77777777" w:rsidR="009F47E0" w:rsidRDefault="009F47E0" w:rsidP="009F47E0">
            <w:pPr>
              <w:pStyle w:val="Compact"/>
              <w:ind w:left="72" w:right="-204"/>
              <w:rPr>
                <w:rFonts w:ascii="Garamond" w:hAnsi="Garamond"/>
                <w:b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sz w:val="20"/>
                <w:szCs w:val="20"/>
              </w:rPr>
              <w:t>PRESENT</w:t>
            </w:r>
          </w:p>
          <w:p w14:paraId="06ED2510" w14:textId="77777777" w:rsidR="009F47E0" w:rsidRPr="009F47E0" w:rsidRDefault="009F47E0" w:rsidP="009F47E0">
            <w:pPr>
              <w:pStyle w:val="Compact"/>
              <w:ind w:left="72" w:right="-204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— seq 1013782744, Pool 082539</w:t>
            </w:r>
          </w:p>
        </w:tc>
        <w:tc>
          <w:tcPr>
            <w:tcW w:w="2606" w:type="dxa"/>
            <w:gridSpan w:val="4"/>
          </w:tcPr>
          <w:p w14:paraId="52B38C63" w14:textId="77777777" w:rsidR="009F47E0" w:rsidRDefault="009F47E0" w:rsidP="009F47E0">
            <w:pPr>
              <w:pStyle w:val="Compact"/>
              <w:ind w:left="252" w:right="-300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All 8 match fields </w:t>
            </w:r>
          </w:p>
          <w:p w14:paraId="4D1D86EF" w14:textId="77777777" w:rsidR="009F47E0" w:rsidRPr="009F47E0" w:rsidRDefault="009F47E0" w:rsidP="009F47E0">
            <w:pPr>
              <w:pStyle w:val="Compact"/>
              <w:ind w:left="252" w:right="-300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+ current UPB $230,478.84</w:t>
            </w:r>
          </w:p>
        </w:tc>
        <w:tc>
          <w:tcPr>
            <w:tcW w:w="1534" w:type="dxa"/>
            <w:gridSpan w:val="4"/>
          </w:tcPr>
          <w:p w14:paraId="00CE57EB" w14:textId="77777777" w:rsidR="009F47E0" w:rsidRPr="009F47E0" w:rsidRDefault="009F47E0" w:rsidP="009F47E0">
            <w:pPr>
              <w:pStyle w:val="Compact"/>
              <w:ind w:left="165" w:right="-456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¶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  <w:r w:rsidRPr="009F47E0">
              <w:rPr>
                <w:rFonts w:ascii="Garamond" w:hAnsi="Garamond"/>
                <w:sz w:val="20"/>
                <w:szCs w:val="20"/>
              </w:rPr>
              <w:t>(match table)</w:t>
            </w:r>
          </w:p>
        </w:tc>
        <w:tc>
          <w:tcPr>
            <w:tcW w:w="1713" w:type="dxa"/>
            <w:gridSpan w:val="2"/>
          </w:tcPr>
          <w:p w14:paraId="070F84BA" w14:textId="77777777" w:rsidR="009F47E0" w:rsidRDefault="009F47E0" w:rsidP="009F47E0">
            <w:pPr>
              <w:pStyle w:val="Compact"/>
              <w:ind w:right="47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“</w:t>
            </w:r>
            <w:r w:rsidRPr="009F47E0">
              <w:rPr>
                <w:rFonts w:ascii="Garamond" w:hAnsi="Garamond"/>
                <w:sz w:val="20"/>
                <w:szCs w:val="20"/>
              </w:rPr>
              <w:t>Zipper match</w:t>
            </w:r>
            <w:r>
              <w:rPr>
                <w:rFonts w:ascii="Garamond" w:hAnsi="Garamond"/>
                <w:sz w:val="20"/>
                <w:szCs w:val="20"/>
              </w:rPr>
              <w:t>”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79638971" w14:textId="77777777" w:rsidR="009F47E0" w:rsidRDefault="009F47E0" w:rsidP="009F47E0">
            <w:pPr>
              <w:pStyle w:val="Compact"/>
              <w:ind w:left="75" w:right="-15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(</w:t>
            </w:r>
            <w:r>
              <w:rPr>
                <w:rFonts w:ascii="Garamond" w:hAnsi="Garamond"/>
                <w:sz w:val="20"/>
                <w:szCs w:val="20"/>
              </w:rPr>
              <w:t>(</w:t>
            </w:r>
            <w:r w:rsidRPr="009F47E0">
              <w:rPr>
                <w:rFonts w:ascii="Garamond" w:hAnsi="Garamond"/>
                <w:sz w:val="20"/>
                <w:szCs w:val="20"/>
              </w:rPr>
              <w:t>all 9 teeth);</w:t>
            </w:r>
          </w:p>
          <w:p w14:paraId="7A9CB064" w14:textId="77777777" w:rsidR="009F47E0" w:rsidRDefault="009F47E0" w:rsidP="009F47E0">
            <w:pPr>
              <w:pStyle w:val="Compact"/>
              <w:ind w:left="75" w:right="-15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balance-trail row 2</w:t>
            </w:r>
          </w:p>
          <w:p w14:paraId="6827E9FB" w14:textId="77777777" w:rsidR="009F47E0" w:rsidRPr="009F47E0" w:rsidRDefault="009F47E0" w:rsidP="009F47E0">
            <w:pPr>
              <w:pStyle w:val="Compact"/>
              <w:ind w:right="-192"/>
              <w:rPr>
                <w:rFonts w:ascii="Garamond" w:hAnsi="Garamond"/>
                <w:sz w:val="20"/>
                <w:szCs w:val="20"/>
              </w:rPr>
            </w:pPr>
          </w:p>
        </w:tc>
      </w:tr>
      <w:tr w:rsidR="009F47E0" w:rsidRPr="009F47E0" w14:paraId="10F96688" w14:textId="77777777" w:rsidTr="009F47E0">
        <w:tc>
          <w:tcPr>
            <w:tcW w:w="379" w:type="dxa"/>
            <w:gridSpan w:val="2"/>
          </w:tcPr>
          <w:p w14:paraId="12EE7B3F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F47E0"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87" w:type="dxa"/>
          </w:tcPr>
          <w:p w14:paraId="61FADD40" w14:textId="77777777" w:rsidR="009F47E0" w:rsidRDefault="009F47E0" w:rsidP="009F47E0">
            <w:pPr>
              <w:pStyle w:val="Compact"/>
              <w:ind w:right="-1998"/>
              <w:rPr>
                <w:rStyle w:val="VerbatimChar"/>
                <w:rFonts w:ascii="Garamond" w:hAnsi="Garamond"/>
                <w:sz w:val="20"/>
                <w:szCs w:val="20"/>
              </w:rPr>
            </w:pP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GNMA_MBS_</w:t>
            </w:r>
          </w:p>
          <w:p w14:paraId="7006D762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SF_LIQ_082539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5181C376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(pool liquidation file)</w:t>
            </w:r>
          </w:p>
        </w:tc>
        <w:tc>
          <w:tcPr>
            <w:tcW w:w="1114" w:type="dxa"/>
            <w:gridSpan w:val="4"/>
          </w:tcPr>
          <w:p w14:paraId="7A345F41" w14:textId="77777777" w:rsidR="009F47E0" w:rsidRDefault="009F47E0" w:rsidP="009F47E0">
            <w:pPr>
              <w:pStyle w:val="Compact"/>
              <w:tabs>
                <w:tab w:val="left" w:pos="0"/>
              </w:tabs>
              <w:ind w:left="-102"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period </w:t>
            </w:r>
          </w:p>
          <w:p w14:paraId="46373534" w14:textId="77777777" w:rsidR="009F47E0" w:rsidRPr="009F47E0" w:rsidRDefault="009F47E0" w:rsidP="009F47E0">
            <w:pPr>
              <w:pStyle w:val="Compact"/>
              <w:ind w:left="-102"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201912</w:t>
            </w:r>
          </w:p>
        </w:tc>
        <w:tc>
          <w:tcPr>
            <w:tcW w:w="1354" w:type="dxa"/>
            <w:gridSpan w:val="5"/>
          </w:tcPr>
          <w:p w14:paraId="4F00D7A4" w14:textId="77777777" w:rsidR="009F47E0" w:rsidRDefault="009F47E0" w:rsidP="009F47E0">
            <w:pPr>
              <w:pStyle w:val="Compact"/>
              <w:ind w:left="-105" w:right="-204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sz w:val="20"/>
                <w:szCs w:val="20"/>
              </w:rPr>
              <w:t>PRESENT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6E5DA0EB" w14:textId="77777777" w:rsidR="009F47E0" w:rsidRPr="009F47E0" w:rsidRDefault="009F47E0" w:rsidP="009F47E0">
            <w:pPr>
              <w:pStyle w:val="Compact"/>
              <w:ind w:left="-105" w:right="-204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— seq 1013782744 removed</w:t>
            </w:r>
          </w:p>
        </w:tc>
        <w:tc>
          <w:tcPr>
            <w:tcW w:w="2604" w:type="dxa"/>
            <w:gridSpan w:val="3"/>
          </w:tcPr>
          <w:p w14:paraId="18F33842" w14:textId="77777777" w:rsidR="009F47E0" w:rsidRPr="009F47E0" w:rsidRDefault="009F47E0" w:rsidP="009F47E0">
            <w:pPr>
              <w:pStyle w:val="Compact"/>
              <w:tabs>
                <w:tab w:val="left" w:pos="1880"/>
              </w:tabs>
              <w:ind w:left="-82" w:right="-20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Removal in Dec 2019 (period 201912), UPB $186,397.89, removal reason code </w:t>
            </w:r>
            <w:r w:rsidRPr="009F47E0">
              <w:rPr>
                <w:rFonts w:ascii="Garamond" w:hAnsi="Garamond"/>
                <w:b/>
                <w:sz w:val="20"/>
                <w:szCs w:val="20"/>
              </w:rPr>
              <w:t>2 — “Repurchase of Delinquent Loan”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 (label verified against the Ginnie liquidation file layout, item LR-015)</w:t>
            </w:r>
          </w:p>
        </w:tc>
        <w:tc>
          <w:tcPr>
            <w:tcW w:w="1228" w:type="dxa"/>
            <w:gridSpan w:val="2"/>
          </w:tcPr>
          <w:p w14:paraId="45C1EA35" w14:textId="77777777" w:rsidR="009F47E0" w:rsidRPr="009F47E0" w:rsidRDefault="009F47E0" w:rsidP="009F47E0">
            <w:pPr>
              <w:pStyle w:val="Compact"/>
              <w:ind w:left="-102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¶</w:t>
            </w:r>
            <w:r>
              <w:rPr>
                <w:rFonts w:ascii="Garamond" w:hAnsi="Garamond"/>
                <w:sz w:val="20"/>
                <w:szCs w:val="20"/>
              </w:rPr>
              <w:t>(</w:t>
            </w:r>
            <w:r w:rsidRPr="009F47E0">
              <w:rPr>
                <w:rFonts w:ascii="Garamond" w:hAnsi="Garamond"/>
                <w:sz w:val="20"/>
                <w:szCs w:val="20"/>
              </w:rPr>
              <w:t>removal/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9F47E0">
              <w:rPr>
                <w:rFonts w:ascii="Garamond" w:hAnsi="Garamond"/>
                <w:sz w:val="20"/>
                <w:szCs w:val="20"/>
              </w:rPr>
              <w:t>buyout)</w:t>
            </w:r>
          </w:p>
        </w:tc>
        <w:tc>
          <w:tcPr>
            <w:tcW w:w="1713" w:type="dxa"/>
            <w:gridSpan w:val="2"/>
          </w:tcPr>
          <w:p w14:paraId="3B42CFDE" w14:textId="77777777" w:rsidR="009F47E0" w:rsidRDefault="009F47E0" w:rsidP="009F47E0">
            <w:pPr>
              <w:pStyle w:val="Compact"/>
              <w:ind w:left="-105" w:right="-378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9F47E0">
              <w:rPr>
                <w:rFonts w:ascii="Garamond" w:hAnsi="Garamond"/>
                <w:sz w:val="20"/>
                <w:szCs w:val="20"/>
              </w:rPr>
              <w:t>Balance-trail row 3</w:t>
            </w:r>
          </w:p>
          <w:p w14:paraId="0D2D3E9C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  <w:p w14:paraId="1BC79AAD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  <w:p w14:paraId="53859492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  <w:p w14:paraId="46A187F2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  <w:p w14:paraId="3DE91FC3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  <w:p w14:paraId="3374554E" w14:textId="77777777" w:rsidR="009F47E0" w:rsidRP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</w:tc>
      </w:tr>
      <w:tr w:rsidR="009F47E0" w:rsidRPr="009F47E0" w14:paraId="51776849" w14:textId="77777777" w:rsidTr="009F47E0">
        <w:trPr>
          <w:gridAfter w:val="1"/>
          <w:wAfter w:w="88" w:type="dxa"/>
        </w:trPr>
        <w:tc>
          <w:tcPr>
            <w:tcW w:w="379" w:type="dxa"/>
            <w:gridSpan w:val="2"/>
          </w:tcPr>
          <w:p w14:paraId="4ADF370A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F47E0"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77" w:type="dxa"/>
            <w:gridSpan w:val="2"/>
          </w:tcPr>
          <w:p w14:paraId="704F46FB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082539MAF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 / </w:t>
            </w:r>
          </w:p>
          <w:p w14:paraId="2C630EE9" w14:textId="77777777" w:rsidR="009F47E0" w:rsidRDefault="009F47E0" w:rsidP="009F47E0">
            <w:pPr>
              <w:pStyle w:val="Compact"/>
              <w:ind w:right="-1998"/>
              <w:rPr>
                <w:rStyle w:val="VerbatimChar"/>
                <w:rFonts w:ascii="Garamond" w:hAnsi="Garamond"/>
                <w:sz w:val="20"/>
                <w:szCs w:val="20"/>
              </w:rPr>
            </w:pP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GNMA_POOL_</w:t>
            </w:r>
          </w:p>
          <w:p w14:paraId="6F3FC0B5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082539_MBS_MON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7BD0C534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(pool &amp; CUSIP </w:t>
            </w:r>
          </w:p>
          <w:p w14:paraId="132A59FF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disclosure)</w:t>
            </w:r>
          </w:p>
          <w:p w14:paraId="5ACB5A16" w14:textId="77777777" w:rsidR="009F47E0" w:rsidRPr="009F47E0" w:rsidRDefault="009F47E0" w:rsidP="009F47E0">
            <w:pPr>
              <w:pStyle w:val="Compact"/>
              <w:ind w:left="-204" w:right="-1998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</w:p>
        </w:tc>
        <w:tc>
          <w:tcPr>
            <w:tcW w:w="899" w:type="dxa"/>
            <w:gridSpan w:val="2"/>
          </w:tcPr>
          <w:p w14:paraId="464BDEA6" w14:textId="77777777" w:rsidR="009F47E0" w:rsidRPr="009F47E0" w:rsidRDefault="009F47E0" w:rsidP="009F47E0">
            <w:pPr>
              <w:pStyle w:val="Compact"/>
              <w:ind w:left="-240" w:right="-15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as-of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proofErr w:type="spellStart"/>
            <w:r w:rsidRPr="009F47E0">
              <w:rPr>
                <w:rFonts w:ascii="Garamond" w:hAnsi="Garamond"/>
                <w:sz w:val="20"/>
                <w:szCs w:val="20"/>
              </w:rPr>
              <w:t>cl</w:t>
            </w:r>
            <w:r>
              <w:rPr>
                <w:rFonts w:ascii="Garamond" w:hAnsi="Garamond"/>
                <w:sz w:val="20"/>
                <w:szCs w:val="20"/>
              </w:rPr>
              <w:t>Discl</w:t>
            </w:r>
            <w:r w:rsidRPr="009F47E0">
              <w:rPr>
                <w:rFonts w:ascii="Garamond" w:hAnsi="Garamond"/>
                <w:sz w:val="20"/>
                <w:szCs w:val="20"/>
              </w:rPr>
              <w:t>osure</w:t>
            </w:r>
            <w:proofErr w:type="spellEnd"/>
          </w:p>
        </w:tc>
        <w:tc>
          <w:tcPr>
            <w:tcW w:w="1354" w:type="dxa"/>
            <w:gridSpan w:val="4"/>
          </w:tcPr>
          <w:p w14:paraId="67A96C48" w14:textId="77777777" w:rsidR="009F47E0" w:rsidRDefault="009F47E0" w:rsidP="009F47E0">
            <w:pPr>
              <w:pStyle w:val="Compact"/>
              <w:ind w:left="-195" w:right="-204" w:firstLine="180"/>
              <w:rPr>
                <w:rFonts w:ascii="Garamond" w:hAnsi="Garamond"/>
                <w:b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sz w:val="20"/>
                <w:szCs w:val="20"/>
              </w:rPr>
              <w:t xml:space="preserve">PRESENT </w:t>
            </w:r>
          </w:p>
          <w:p w14:paraId="69ABE829" w14:textId="77777777" w:rsidR="009F47E0" w:rsidRPr="009F47E0" w:rsidRDefault="009F47E0" w:rsidP="009F47E0">
            <w:pPr>
              <w:pStyle w:val="Compact"/>
              <w:ind w:left="-195" w:right="-204" w:firstLine="180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sz w:val="20"/>
                <w:szCs w:val="20"/>
              </w:rPr>
              <w:t>(pool-level)</w:t>
            </w:r>
          </w:p>
        </w:tc>
        <w:tc>
          <w:tcPr>
            <w:tcW w:w="2607" w:type="dxa"/>
            <w:gridSpan w:val="4"/>
          </w:tcPr>
          <w:p w14:paraId="02F65D37" w14:textId="77777777" w:rsidR="009F47E0" w:rsidRDefault="009F47E0" w:rsidP="009F47E0">
            <w:pPr>
              <w:pStyle w:val="Compact"/>
              <w:ind w:left="75" w:hanging="75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CUSIP 36225EZD7;</w:t>
            </w:r>
          </w:p>
          <w:p w14:paraId="4062C52C" w14:textId="77777777" w:rsidR="009F47E0" w:rsidRDefault="009F47E0" w:rsidP="009F47E0">
            <w:pPr>
              <w:pStyle w:val="Compact"/>
              <w:ind w:left="75" w:hanging="75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Ginnie II; pool type AF;</w:t>
            </w:r>
          </w:p>
          <w:p w14:paraId="2832F9B0" w14:textId="77777777" w:rsidR="009F47E0" w:rsidRPr="009F47E0" w:rsidRDefault="009F47E0" w:rsidP="009F47E0">
            <w:pPr>
              <w:pStyle w:val="Compact"/>
              <w:ind w:left="75" w:hanging="75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pool issue 5/1/2010</w:t>
            </w:r>
          </w:p>
        </w:tc>
        <w:tc>
          <w:tcPr>
            <w:tcW w:w="1262" w:type="dxa"/>
            <w:gridSpan w:val="2"/>
          </w:tcPr>
          <w:p w14:paraId="46A1911B" w14:textId="77777777" w:rsidR="009F47E0" w:rsidRDefault="009F47E0" w:rsidP="009F47E0">
            <w:pPr>
              <w:pStyle w:val="Compact"/>
              <w:ind w:right="-105" w:hanging="15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¶5 (pool type), </w:t>
            </w:r>
          </w:p>
          <w:p w14:paraId="3F488D2E" w14:textId="77777777" w:rsidR="009F47E0" w:rsidRPr="009F47E0" w:rsidRDefault="009F47E0" w:rsidP="009F47E0">
            <w:pPr>
              <w:pStyle w:val="Compact"/>
              <w:ind w:right="-105" w:hanging="15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¶ (pooling)</w:t>
            </w:r>
          </w:p>
        </w:tc>
        <w:tc>
          <w:tcPr>
            <w:tcW w:w="1713" w:type="dxa"/>
            <w:gridSpan w:val="2"/>
          </w:tcPr>
          <w:p w14:paraId="5D5CE56A" w14:textId="77777777" w:rsidR="009F47E0" w:rsidRDefault="009F47E0" w:rsidP="009F47E0">
            <w:pPr>
              <w:pStyle w:val="Compact"/>
              <w:ind w:right="-37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F47E0">
              <w:rPr>
                <w:rFonts w:ascii="Garamond" w:hAnsi="Garamond"/>
                <w:sz w:val="20"/>
                <w:szCs w:val="20"/>
              </w:rPr>
              <w:t>Zipper (pool type); identity header</w:t>
            </w:r>
          </w:p>
          <w:p w14:paraId="4FDA0D31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  <w:p w14:paraId="7B38EA09" w14:textId="77777777" w:rsidR="009F47E0" w:rsidRP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</w:tc>
      </w:tr>
      <w:tr w:rsidR="009F47E0" w:rsidRPr="009F47E0" w14:paraId="315CCCE0" w14:textId="77777777" w:rsidTr="009F47E0">
        <w:tc>
          <w:tcPr>
            <w:tcW w:w="379" w:type="dxa"/>
            <w:gridSpan w:val="2"/>
          </w:tcPr>
          <w:p w14:paraId="6CE88CA9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F47E0"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7" w:type="dxa"/>
          </w:tcPr>
          <w:p w14:paraId="30692EEC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llmon1_202012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4E39F391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(Ginnie I loan-level)</w:t>
            </w:r>
          </w:p>
        </w:tc>
        <w:tc>
          <w:tcPr>
            <w:tcW w:w="1114" w:type="dxa"/>
            <w:gridSpan w:val="4"/>
          </w:tcPr>
          <w:p w14:paraId="2041E7BB" w14:textId="77777777" w:rsidR="009F47E0" w:rsidRPr="009F47E0" w:rsidRDefault="009F47E0" w:rsidP="009F47E0">
            <w:pPr>
              <w:pStyle w:val="Compact"/>
              <w:ind w:right="-1998" w:hanging="10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Dec 2020</w:t>
            </w:r>
          </w:p>
        </w:tc>
        <w:tc>
          <w:tcPr>
            <w:tcW w:w="1354" w:type="dxa"/>
            <w:gridSpan w:val="5"/>
          </w:tcPr>
          <w:p w14:paraId="1B63B38C" w14:textId="77777777" w:rsidR="009F47E0" w:rsidRPr="009F47E0" w:rsidRDefault="009F47E0" w:rsidP="009F47E0">
            <w:pPr>
              <w:pStyle w:val="Compact"/>
              <w:ind w:right="-204" w:hanging="24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sz w:val="20"/>
                <w:szCs w:val="20"/>
              </w:rPr>
              <w:t>ABSENT</w:t>
            </w:r>
          </w:p>
        </w:tc>
        <w:tc>
          <w:tcPr>
            <w:tcW w:w="2604" w:type="dxa"/>
            <w:gridSpan w:val="3"/>
          </w:tcPr>
          <w:p w14:paraId="5AEBC7B1" w14:textId="77777777" w:rsidR="009F47E0" w:rsidRDefault="009F47E0" w:rsidP="009F47E0">
            <w:pPr>
              <w:pStyle w:val="Compact"/>
              <w:ind w:left="-82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Confirms the loan</w:t>
            </w:r>
          </w:p>
          <w:p w14:paraId="2258B63B" w14:textId="77777777" w:rsidR="009F47E0" w:rsidRDefault="009F47E0" w:rsidP="009F47E0">
            <w:pPr>
              <w:pStyle w:val="Compact"/>
              <w:ind w:left="-82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is not Ginnie I </w:t>
            </w:r>
          </w:p>
          <w:p w14:paraId="4053C29C" w14:textId="77777777" w:rsidR="009F47E0" w:rsidRPr="009F47E0" w:rsidRDefault="009F47E0" w:rsidP="009F47E0">
            <w:pPr>
              <w:pStyle w:val="Compact"/>
              <w:ind w:left="-82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(eliminates the prior misidentification)</w:t>
            </w:r>
          </w:p>
        </w:tc>
        <w:tc>
          <w:tcPr>
            <w:tcW w:w="1228" w:type="dxa"/>
            <w:gridSpan w:val="2"/>
          </w:tcPr>
          <w:p w14:paraId="685DB7F5" w14:textId="77777777" w:rsidR="009F47E0" w:rsidRP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¶4(c), ¶6</w:t>
            </w:r>
          </w:p>
        </w:tc>
        <w:tc>
          <w:tcPr>
            <w:tcW w:w="1713" w:type="dxa"/>
            <w:gridSpan w:val="2"/>
          </w:tcPr>
          <w:p w14:paraId="6E67114F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— (elimination)</w:t>
            </w:r>
          </w:p>
          <w:p w14:paraId="031005B4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  <w:p w14:paraId="18B78390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  <w:p w14:paraId="533EF57E" w14:textId="77777777" w:rsidR="009F47E0" w:rsidRP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</w:tc>
      </w:tr>
      <w:tr w:rsidR="009F47E0" w:rsidRPr="009F47E0" w14:paraId="6B785DCB" w14:textId="77777777" w:rsidTr="009F47E0">
        <w:tc>
          <w:tcPr>
            <w:tcW w:w="379" w:type="dxa"/>
            <w:gridSpan w:val="2"/>
          </w:tcPr>
          <w:p w14:paraId="502C68A5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F47E0"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87" w:type="dxa"/>
          </w:tcPr>
          <w:p w14:paraId="52B74F6B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llmon2_202104</w:t>
            </w:r>
            <w:r w:rsidRPr="009F47E0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5D6E8EAA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(Ginnie II loan-level)</w:t>
            </w:r>
          </w:p>
        </w:tc>
        <w:tc>
          <w:tcPr>
            <w:tcW w:w="1114" w:type="dxa"/>
            <w:gridSpan w:val="4"/>
          </w:tcPr>
          <w:p w14:paraId="756404F1" w14:textId="77777777" w:rsidR="009F47E0" w:rsidRPr="009F47E0" w:rsidRDefault="009F47E0" w:rsidP="009F47E0">
            <w:pPr>
              <w:pStyle w:val="Compact"/>
              <w:ind w:right="-1998" w:hanging="10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Apr 2021</w:t>
            </w:r>
          </w:p>
        </w:tc>
        <w:tc>
          <w:tcPr>
            <w:tcW w:w="1354" w:type="dxa"/>
            <w:gridSpan w:val="5"/>
          </w:tcPr>
          <w:p w14:paraId="191E950D" w14:textId="77777777" w:rsidR="009F47E0" w:rsidRPr="009F47E0" w:rsidRDefault="009F47E0" w:rsidP="009F47E0">
            <w:pPr>
              <w:pStyle w:val="Compact"/>
              <w:ind w:right="-204" w:hanging="24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sz w:val="20"/>
                <w:szCs w:val="20"/>
              </w:rPr>
              <w:t>ABSENT</w:t>
            </w:r>
          </w:p>
        </w:tc>
        <w:tc>
          <w:tcPr>
            <w:tcW w:w="2604" w:type="dxa"/>
            <w:gridSpan w:val="3"/>
          </w:tcPr>
          <w:p w14:paraId="4548E52B" w14:textId="77777777" w:rsidR="009F47E0" w:rsidRPr="009F47E0" w:rsidRDefault="009F47E0" w:rsidP="009F47E0">
            <w:pPr>
              <w:pStyle w:val="Compact"/>
              <w:ind w:left="-82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Confirms the loan had exited the pool by Apr 2021</w:t>
            </w:r>
          </w:p>
        </w:tc>
        <w:tc>
          <w:tcPr>
            <w:tcW w:w="1228" w:type="dxa"/>
            <w:gridSpan w:val="2"/>
          </w:tcPr>
          <w:p w14:paraId="188C8D79" w14:textId="77777777" w:rsidR="009F47E0" w:rsidRP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¶6</w:t>
            </w:r>
          </w:p>
        </w:tc>
        <w:tc>
          <w:tcPr>
            <w:tcW w:w="1713" w:type="dxa"/>
            <w:gridSpan w:val="2"/>
          </w:tcPr>
          <w:p w14:paraId="631C0F2E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— (elimination)</w:t>
            </w:r>
          </w:p>
          <w:p w14:paraId="467F48B4" w14:textId="77777777" w:rsid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  <w:p w14:paraId="1C14F7EF" w14:textId="77777777" w:rsidR="009F47E0" w:rsidRP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</w:p>
        </w:tc>
      </w:tr>
      <w:tr w:rsidR="009F47E0" w:rsidRPr="009F47E0" w14:paraId="52DD7594" w14:textId="77777777" w:rsidTr="009F47E0">
        <w:tc>
          <w:tcPr>
            <w:tcW w:w="379" w:type="dxa"/>
            <w:gridSpan w:val="2"/>
          </w:tcPr>
          <w:p w14:paraId="03B32A03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F47E0"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87" w:type="dxa"/>
          </w:tcPr>
          <w:p w14:paraId="0B5F72E9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Re-pool sweep: </w:t>
            </w:r>
          </w:p>
          <w:p w14:paraId="67C80280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9 complete Ginnie II </w:t>
            </w:r>
          </w:p>
          <w:p w14:paraId="7F14C8A1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monthly files </w:t>
            </w:r>
          </w:p>
          <w:p w14:paraId="5B61CA6A" w14:textId="77777777" w:rsidR="009F47E0" w:rsidRDefault="009F47E0" w:rsidP="009F47E0">
            <w:pPr>
              <w:pStyle w:val="Compact"/>
              <w:ind w:right="-1998"/>
              <w:rPr>
                <w:rStyle w:val="VerbatimChar"/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(</w:t>
            </w: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llmon2_202112</w:t>
            </w:r>
          </w:p>
          <w:p w14:paraId="519F1D26" w14:textId="77777777" w:rsid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--through—</w:t>
            </w:r>
          </w:p>
          <w:p w14:paraId="602E1012" w14:textId="77777777" w:rsidR="009F47E0" w:rsidRPr="009F47E0" w:rsidRDefault="009F47E0" w:rsidP="009F47E0">
            <w:pPr>
              <w:pStyle w:val="Compact"/>
              <w:ind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Style w:val="VerbatimChar"/>
                <w:rFonts w:ascii="Garamond" w:hAnsi="Garamond"/>
                <w:sz w:val="20"/>
                <w:szCs w:val="20"/>
              </w:rPr>
              <w:t>llmon2_202506</w:t>
            </w:r>
            <w:r w:rsidRPr="009F47E0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114" w:type="dxa"/>
            <w:gridSpan w:val="4"/>
          </w:tcPr>
          <w:p w14:paraId="622B7780" w14:textId="77777777" w:rsidR="009F47E0" w:rsidRPr="009F47E0" w:rsidRDefault="009F47E0" w:rsidP="009F47E0">
            <w:pPr>
              <w:pStyle w:val="Compact"/>
              <w:ind w:left="-108" w:right="-1998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2021–2026</w:t>
            </w:r>
          </w:p>
        </w:tc>
        <w:tc>
          <w:tcPr>
            <w:tcW w:w="1354" w:type="dxa"/>
            <w:gridSpan w:val="5"/>
          </w:tcPr>
          <w:p w14:paraId="38945818" w14:textId="77777777" w:rsidR="009F47E0" w:rsidRDefault="009F47E0" w:rsidP="009F47E0">
            <w:pPr>
              <w:pStyle w:val="Compact"/>
              <w:ind w:right="-204" w:hanging="24"/>
              <w:rPr>
                <w:rFonts w:ascii="Garamond" w:hAnsi="Garamond"/>
                <w:b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sz w:val="20"/>
                <w:szCs w:val="20"/>
              </w:rPr>
              <w:t>ABSENT</w:t>
            </w:r>
          </w:p>
          <w:p w14:paraId="2E046E75" w14:textId="77777777" w:rsidR="009F47E0" w:rsidRPr="009F47E0" w:rsidRDefault="009F47E0" w:rsidP="009F47E0">
            <w:pPr>
              <w:pStyle w:val="Compact"/>
              <w:ind w:left="-60" w:right="-204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b/>
                <w:sz w:val="20"/>
                <w:szCs w:val="20"/>
              </w:rPr>
              <w:t>(SEQHIT 0)</w:t>
            </w:r>
          </w:p>
        </w:tc>
        <w:tc>
          <w:tcPr>
            <w:tcW w:w="2604" w:type="dxa"/>
            <w:gridSpan w:val="3"/>
          </w:tcPr>
          <w:p w14:paraId="7B0E3AE5" w14:textId="77777777" w:rsidR="009F47E0" w:rsidRPr="009F47E0" w:rsidRDefault="009F47E0" w:rsidP="009F47E0">
            <w:pPr>
              <w:pStyle w:val="Compact"/>
              <w:ind w:left="-82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Confirms the Note was never re-securitized after the Dec 2019 buyout; 97,318,235 records read</w:t>
            </w:r>
          </w:p>
        </w:tc>
        <w:tc>
          <w:tcPr>
            <w:tcW w:w="1228" w:type="dxa"/>
            <w:gridSpan w:val="2"/>
          </w:tcPr>
          <w:p w14:paraId="6BF64C77" w14:textId="77777777" w:rsidR="009F47E0" w:rsidRP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¶6 (scale)</w:t>
            </w:r>
          </w:p>
        </w:tc>
        <w:tc>
          <w:tcPr>
            <w:tcW w:w="1713" w:type="dxa"/>
            <w:gridSpan w:val="2"/>
          </w:tcPr>
          <w:p w14:paraId="62E05303" w14:textId="77777777" w:rsidR="009F47E0" w:rsidRPr="009F47E0" w:rsidRDefault="009F47E0" w:rsidP="009F47E0">
            <w:pPr>
              <w:pStyle w:val="Compact"/>
              <w:rPr>
                <w:rFonts w:ascii="Garamond" w:hAnsi="Garamond"/>
                <w:sz w:val="20"/>
                <w:szCs w:val="20"/>
              </w:rPr>
            </w:pPr>
            <w:r w:rsidRPr="009F47E0">
              <w:rPr>
                <w:rFonts w:ascii="Garamond" w:hAnsi="Garamond"/>
                <w:sz w:val="20"/>
                <w:szCs w:val="20"/>
              </w:rPr>
              <w:t>— (elimination)</w:t>
            </w:r>
          </w:p>
        </w:tc>
      </w:tr>
    </w:tbl>
    <w:p w14:paraId="61198489" w14:textId="77777777" w:rsidR="009F47E0" w:rsidRDefault="009F47E0" w:rsidP="009F47E0">
      <w:pPr>
        <w:pStyle w:val="Compact"/>
        <w:tabs>
          <w:tab w:val="left" w:pos="990"/>
          <w:tab w:val="left" w:pos="1080"/>
        </w:tabs>
        <w:spacing w:line="276" w:lineRule="auto"/>
        <w:rPr>
          <w:rFonts w:ascii="Garamond" w:hAnsi="Garamond"/>
          <w:sz w:val="28"/>
          <w:szCs w:val="28"/>
        </w:rPr>
      </w:pPr>
    </w:p>
    <w:p w14:paraId="69F021B5" w14:textId="51413E96" w:rsidR="009F47E0" w:rsidRDefault="00000000" w:rsidP="009F47E0">
      <w:pPr>
        <w:pStyle w:val="BodyText"/>
        <w:spacing w:before="0" w:after="0"/>
        <w:jc w:val="center"/>
        <w:rPr>
          <w:rFonts w:ascii="Garamond" w:hAnsi="Garamond"/>
          <w:b/>
          <w:bCs/>
          <w:i/>
        </w:rPr>
      </w:pPr>
      <w:r w:rsidRPr="009F47E0">
        <w:rPr>
          <w:rFonts w:ascii="Garamond" w:hAnsi="Garamond"/>
          <w:b/>
          <w:bCs/>
          <w:i/>
        </w:rPr>
        <w:t>Present” rows authenticate the affirmative identification;</w:t>
      </w:r>
    </w:p>
    <w:p w14:paraId="1AF4E682" w14:textId="4F0ADF0D" w:rsidR="009F47E0" w:rsidRDefault="00000000" w:rsidP="009F47E0">
      <w:pPr>
        <w:pStyle w:val="BodyText"/>
        <w:spacing w:before="0" w:after="0"/>
        <w:jc w:val="center"/>
        <w:rPr>
          <w:rFonts w:ascii="Garamond" w:hAnsi="Garamond"/>
          <w:b/>
          <w:bCs/>
          <w:i/>
        </w:rPr>
      </w:pPr>
      <w:r w:rsidRPr="009F47E0">
        <w:rPr>
          <w:rFonts w:ascii="Garamond" w:hAnsi="Garamond"/>
          <w:b/>
          <w:bCs/>
          <w:i/>
        </w:rPr>
        <w:t>“absent” rows</w:t>
      </w:r>
      <w:r w:rsidR="009F47E0" w:rsidRPr="009F47E0">
        <w:rPr>
          <w:rFonts w:ascii="Garamond" w:hAnsi="Garamond"/>
          <w:b/>
          <w:bCs/>
          <w:i/>
        </w:rPr>
        <w:t xml:space="preserve"> </w:t>
      </w:r>
      <w:r w:rsidR="009F47E0" w:rsidRPr="009F47E0">
        <w:rPr>
          <w:rFonts w:ascii="Garamond" w:hAnsi="Garamond"/>
          <w:b/>
          <w:bCs/>
          <w:i/>
        </w:rPr>
        <w:t xml:space="preserve">authenticate the </w:t>
      </w:r>
      <w:r w:rsidR="009F47E0">
        <w:rPr>
          <w:rFonts w:ascii="Garamond" w:hAnsi="Garamond"/>
          <w:b/>
          <w:bCs/>
          <w:i/>
        </w:rPr>
        <w:t>e</w:t>
      </w:r>
      <w:r w:rsidR="009F47E0" w:rsidRPr="009F47E0">
        <w:rPr>
          <w:rFonts w:ascii="Garamond" w:hAnsi="Garamond"/>
          <w:b/>
          <w:bCs/>
          <w:i/>
        </w:rPr>
        <w:t>limination.</w:t>
      </w:r>
    </w:p>
    <w:p w14:paraId="3EE36252" w14:textId="436BD5C6" w:rsidR="009F47E0" w:rsidRPr="009F47E0" w:rsidRDefault="009F47E0" w:rsidP="009F47E0">
      <w:pPr>
        <w:pStyle w:val="BodyText"/>
        <w:spacing w:before="0" w:after="0"/>
        <w:jc w:val="center"/>
        <w:rPr>
          <w:rFonts w:ascii="Garamond" w:hAnsi="Garamond"/>
          <w:b/>
          <w:bCs/>
          <w:i/>
        </w:rPr>
      </w:pPr>
      <w:r w:rsidRPr="009F47E0">
        <w:rPr>
          <w:rFonts w:ascii="Garamond" w:hAnsi="Garamond"/>
          <w:b/>
          <w:bCs/>
          <w:i/>
        </w:rPr>
        <w:t>Both are part of the proof.</w:t>
      </w:r>
    </w:p>
    <w:p w14:paraId="7B3774A9" w14:textId="66E88B02" w:rsidR="003E5D5C" w:rsidRPr="009F47E0" w:rsidRDefault="00000000" w:rsidP="009F47E0">
      <w:pPr>
        <w:pStyle w:val="Heading2"/>
        <w:spacing w:line="360" w:lineRule="auto"/>
        <w:rPr>
          <w:rFonts w:ascii="Garamond" w:hAnsi="Garamond"/>
        </w:rPr>
      </w:pPr>
      <w:bookmarkStart w:id="9" w:name="X2603165e362e5e202a36b9b880901e7aac66b9f"/>
      <w:r w:rsidRPr="009F47E0">
        <w:rPr>
          <w:rFonts w:ascii="Garamond" w:hAnsi="Garamond"/>
        </w:rPr>
        <w:t>Continuity of the loan through its history</w:t>
      </w:r>
      <w:bookmarkEnd w:id="9"/>
    </w:p>
    <w:p w14:paraId="19836A30" w14:textId="77777777" w:rsidR="003E5D5C" w:rsidRPr="009F47E0" w:rsidRDefault="00000000" w:rsidP="009F47E0">
      <w:pPr>
        <w:pStyle w:val="Compact"/>
        <w:numPr>
          <w:ilvl w:val="0"/>
          <w:numId w:val="11"/>
        </w:numPr>
        <w:spacing w:line="360" w:lineRule="auto"/>
        <w:ind w:left="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The balances reconcile as one continuous FHA ARM: origination </w:t>
      </w:r>
      <w:r w:rsidRPr="009F47E0">
        <w:rPr>
          <w:rFonts w:ascii="Garamond" w:hAnsi="Garamond"/>
          <w:b/>
          <w:sz w:val="28"/>
          <w:szCs w:val="28"/>
        </w:rPr>
        <w:t>$254,308</w:t>
      </w:r>
      <w:r w:rsidRPr="009F47E0">
        <w:rPr>
          <w:rFonts w:ascii="Garamond" w:hAnsi="Garamond"/>
          <w:sz w:val="28"/>
          <w:szCs w:val="28"/>
        </w:rPr>
        <w:t xml:space="preserve"> (Apr. 2010) → </w:t>
      </w:r>
      <w:r w:rsidRPr="009F47E0">
        <w:rPr>
          <w:rFonts w:ascii="Garamond" w:hAnsi="Garamond"/>
          <w:b/>
          <w:sz w:val="28"/>
          <w:szCs w:val="28"/>
        </w:rPr>
        <w:t>$230,478.84</w:t>
      </w:r>
      <w:r w:rsidRPr="009F47E0">
        <w:rPr>
          <w:rFonts w:ascii="Garamond" w:hAnsi="Garamond"/>
          <w:sz w:val="28"/>
          <w:szCs w:val="28"/>
        </w:rPr>
        <w:t xml:space="preserve"> (Nov. 2013, the figure on both Ginnie’s record and Wells Fargo’s ledger) → </w:t>
      </w:r>
      <w:r w:rsidRPr="009F47E0">
        <w:rPr>
          <w:rFonts w:ascii="Garamond" w:hAnsi="Garamond"/>
          <w:b/>
          <w:sz w:val="28"/>
          <w:szCs w:val="28"/>
        </w:rPr>
        <w:t>$186,397.89</w:t>
      </w:r>
      <w:r w:rsidRPr="009F47E0">
        <w:rPr>
          <w:rFonts w:ascii="Garamond" w:hAnsi="Garamond"/>
          <w:sz w:val="28"/>
          <w:szCs w:val="28"/>
        </w:rPr>
        <w:t xml:space="preserve"> (Dec. 2019, removal from the pool). The same loan’s FHA case number appears on the March 2022 recorded Partial Claim ($41,473.09, Book 46541/43), and the post-removal custody and release events (the “WF220C / GNMA-Review” coding, the Form HUD-11708 release references, and the September 2022 shipment to Deutsche Bank) attach to this same loan’s servicing record. (Detailed in the accompanying methodology walkthrough.)</w:t>
      </w:r>
    </w:p>
    <w:p w14:paraId="618D7167" w14:textId="67006D3D" w:rsidR="003E5D5C" w:rsidRPr="009F47E0" w:rsidRDefault="00000000" w:rsidP="009F47E0">
      <w:pPr>
        <w:pStyle w:val="Heading2"/>
        <w:spacing w:line="360" w:lineRule="auto"/>
        <w:ind w:firstLine="720"/>
        <w:rPr>
          <w:rFonts w:ascii="Garamond" w:hAnsi="Garamond"/>
        </w:rPr>
      </w:pPr>
      <w:bookmarkStart w:id="10" w:name="limits"/>
      <w:r w:rsidRPr="009F47E0">
        <w:rPr>
          <w:rFonts w:ascii="Garamond" w:hAnsi="Garamond"/>
        </w:rPr>
        <w:t>Limits</w:t>
      </w:r>
      <w:bookmarkEnd w:id="10"/>
    </w:p>
    <w:p w14:paraId="614950C1" w14:textId="77777777" w:rsidR="009F47E0" w:rsidRDefault="00000000" w:rsidP="009F47E0">
      <w:pPr>
        <w:pStyle w:val="Compact"/>
        <w:numPr>
          <w:ilvl w:val="0"/>
          <w:numId w:val="12"/>
        </w:numPr>
        <w:spacing w:line="360" w:lineRule="auto"/>
        <w:ind w:firstLine="33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I state these limits expressly: </w:t>
      </w:r>
    </w:p>
    <w:p w14:paraId="06F3A72C" w14:textId="238DE295" w:rsidR="009F47E0" w:rsidRDefault="00000000" w:rsidP="009F47E0">
      <w:pPr>
        <w:pStyle w:val="Compact"/>
        <w:spacing w:line="360" w:lineRule="auto"/>
        <w:ind w:left="72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(a) removal </w:t>
      </w:r>
      <w:r w:rsidRPr="009F47E0">
        <w:rPr>
          <w:rFonts w:ascii="Garamond" w:hAnsi="Garamond"/>
          <w:b/>
          <w:sz w:val="28"/>
          <w:szCs w:val="28"/>
        </w:rPr>
        <w:t>reason code 2</w:t>
      </w:r>
      <w:r w:rsidRPr="009F47E0">
        <w:rPr>
          <w:rFonts w:ascii="Garamond" w:hAnsi="Garamond"/>
          <w:sz w:val="28"/>
          <w:szCs w:val="28"/>
        </w:rPr>
        <w:t xml:space="preserve"> means the loan was </w:t>
      </w:r>
      <w:r w:rsidRPr="009F47E0">
        <w:rPr>
          <w:rFonts w:ascii="Garamond" w:hAnsi="Garamond"/>
          <w:i/>
          <w:sz w:val="28"/>
          <w:szCs w:val="28"/>
        </w:rPr>
        <w:t>bought out</w:t>
      </w:r>
      <w:r w:rsidRPr="009F47E0">
        <w:rPr>
          <w:rFonts w:ascii="Garamond" w:hAnsi="Garamond"/>
          <w:sz w:val="28"/>
          <w:szCs w:val="28"/>
        </w:rPr>
        <w:t xml:space="preserve"> of the security</w:t>
      </w:r>
      <w:r w:rsidR="009F47E0">
        <w:rPr>
          <w:rFonts w:ascii="Garamond" w:hAnsi="Garamond"/>
          <w:sz w:val="28"/>
          <w:szCs w:val="28"/>
        </w:rPr>
        <w:t>.</w:t>
      </w:r>
    </w:p>
    <w:p w14:paraId="74754E77" w14:textId="1B13B0FD" w:rsidR="009F47E0" w:rsidRDefault="00000000" w:rsidP="009F47E0">
      <w:pPr>
        <w:pStyle w:val="Compact"/>
        <w:spacing w:line="360" w:lineRule="auto"/>
        <w:ind w:left="72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(b) the loan’s absence from the Ginnie pool after December 2019 does not, by itself, establish that Wells Fargo retained ownership thereafter — that remains a matter for discovery; and </w:t>
      </w:r>
      <w:r w:rsidR="009F47E0">
        <w:rPr>
          <w:rFonts w:ascii="Garamond" w:hAnsi="Garamond"/>
          <w:sz w:val="28"/>
          <w:szCs w:val="28"/>
        </w:rPr>
        <w:t>under the facts of this case, is irrelevant.</w:t>
      </w:r>
    </w:p>
    <w:p w14:paraId="0A445E94" w14:textId="31956256" w:rsidR="003E5D5C" w:rsidRDefault="00000000" w:rsidP="009F47E0">
      <w:pPr>
        <w:pStyle w:val="Compact"/>
        <w:spacing w:line="360" w:lineRule="auto"/>
        <w:ind w:left="720" w:firstLine="72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(c) the identification rests on Ginnie’s public data and Wells Fargo’s produced ledger </w:t>
      </w:r>
      <w:r w:rsidR="009F47E0">
        <w:rPr>
          <w:rFonts w:ascii="Garamond" w:hAnsi="Garamond"/>
          <w:sz w:val="28"/>
          <w:szCs w:val="28"/>
        </w:rPr>
        <w:t xml:space="preserve">and business records </w:t>
      </w:r>
      <w:r w:rsidRPr="009F47E0">
        <w:rPr>
          <w:rFonts w:ascii="Garamond" w:hAnsi="Garamond"/>
          <w:sz w:val="28"/>
          <w:szCs w:val="28"/>
        </w:rPr>
        <w:t xml:space="preserve">and </w:t>
      </w:r>
      <w:r w:rsidR="009F47E0">
        <w:rPr>
          <w:rFonts w:ascii="Garamond" w:hAnsi="Garamond"/>
          <w:sz w:val="28"/>
          <w:szCs w:val="28"/>
        </w:rPr>
        <w:t>can</w:t>
      </w:r>
      <w:r w:rsidRPr="009F47E0">
        <w:rPr>
          <w:rFonts w:ascii="Garamond" w:hAnsi="Garamond"/>
          <w:sz w:val="28"/>
          <w:szCs w:val="28"/>
        </w:rPr>
        <w:t xml:space="preserve"> be confirmed against the original servicing file</w:t>
      </w:r>
      <w:r w:rsidR="009F47E0">
        <w:rPr>
          <w:rFonts w:ascii="Garamond" w:hAnsi="Garamond"/>
          <w:sz w:val="28"/>
          <w:szCs w:val="28"/>
        </w:rPr>
        <w:t>.</w:t>
      </w:r>
      <w:r w:rsidRPr="009F47E0">
        <w:rPr>
          <w:rFonts w:ascii="Garamond" w:hAnsi="Garamond"/>
          <w:sz w:val="28"/>
          <w:szCs w:val="28"/>
        </w:rPr>
        <w:t>.</w:t>
      </w:r>
    </w:p>
    <w:p w14:paraId="185AA6E1" w14:textId="77777777" w:rsidR="009F47E0" w:rsidRDefault="009F47E0" w:rsidP="009F47E0">
      <w:pPr>
        <w:pStyle w:val="Compact"/>
        <w:spacing w:line="360" w:lineRule="auto"/>
        <w:ind w:left="720" w:firstLine="720"/>
        <w:rPr>
          <w:rFonts w:ascii="Garamond" w:hAnsi="Garamond"/>
          <w:sz w:val="28"/>
          <w:szCs w:val="28"/>
        </w:rPr>
      </w:pPr>
    </w:p>
    <w:p w14:paraId="479381DD" w14:textId="77777777" w:rsidR="009F47E0" w:rsidRDefault="009F47E0" w:rsidP="009F47E0">
      <w:pPr>
        <w:pStyle w:val="Compact"/>
        <w:spacing w:line="360" w:lineRule="auto"/>
        <w:ind w:left="720" w:firstLine="720"/>
        <w:rPr>
          <w:rFonts w:ascii="Garamond" w:hAnsi="Garamond"/>
          <w:sz w:val="28"/>
          <w:szCs w:val="28"/>
        </w:rPr>
      </w:pPr>
    </w:p>
    <w:p w14:paraId="26291838" w14:textId="77777777" w:rsidR="009F47E0" w:rsidRDefault="009F47E0" w:rsidP="009F47E0">
      <w:pPr>
        <w:pStyle w:val="Compact"/>
        <w:spacing w:line="360" w:lineRule="auto"/>
        <w:ind w:left="720" w:firstLine="720"/>
        <w:rPr>
          <w:rFonts w:ascii="Garamond" w:hAnsi="Garamond"/>
          <w:sz w:val="28"/>
          <w:szCs w:val="28"/>
        </w:rPr>
      </w:pPr>
    </w:p>
    <w:p w14:paraId="4DA22A42" w14:textId="77777777" w:rsidR="009F47E0" w:rsidRDefault="009F47E0" w:rsidP="009F47E0">
      <w:pPr>
        <w:pStyle w:val="Compact"/>
        <w:spacing w:line="360" w:lineRule="auto"/>
        <w:ind w:left="720" w:firstLine="720"/>
        <w:rPr>
          <w:rFonts w:ascii="Garamond" w:hAnsi="Garamond"/>
          <w:sz w:val="28"/>
          <w:szCs w:val="28"/>
        </w:rPr>
      </w:pPr>
    </w:p>
    <w:p w14:paraId="54188A69" w14:textId="77777777" w:rsidR="009F47E0" w:rsidRPr="009F47E0" w:rsidRDefault="009F47E0" w:rsidP="009F47E0">
      <w:pPr>
        <w:pStyle w:val="Compact"/>
        <w:spacing w:line="360" w:lineRule="auto"/>
        <w:ind w:left="720" w:firstLine="720"/>
        <w:rPr>
          <w:rFonts w:ascii="Garamond" w:hAnsi="Garamond"/>
          <w:sz w:val="28"/>
          <w:szCs w:val="28"/>
        </w:rPr>
      </w:pPr>
    </w:p>
    <w:p w14:paraId="7BED054A" w14:textId="0700499C" w:rsidR="003E5D5C" w:rsidRPr="009F47E0" w:rsidRDefault="009F47E0" w:rsidP="009F47E0">
      <w:pPr>
        <w:pStyle w:val="Heading2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VERIFICATION OF JEFFREY M. SCHATZ</w:t>
      </w:r>
    </w:p>
    <w:p w14:paraId="4EF0EA8F" w14:textId="26D4E6C5" w:rsidR="003E5D5C" w:rsidRDefault="009F47E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Jeffrey M. Schatz</w:t>
      </w:r>
      <w:r w:rsidR="00000000" w:rsidRPr="009F47E0">
        <w:rPr>
          <w:rFonts w:ascii="Garamond" w:hAnsi="Garamond"/>
          <w:sz w:val="28"/>
          <w:szCs w:val="28"/>
        </w:rPr>
        <w:t xml:space="preserve"> solemnly </w:t>
      </w:r>
      <w:r>
        <w:rPr>
          <w:rFonts w:ascii="Garamond" w:hAnsi="Garamond"/>
          <w:sz w:val="28"/>
          <w:szCs w:val="28"/>
        </w:rPr>
        <w:t xml:space="preserve">SWEAR and AFFIRM </w:t>
      </w:r>
      <w:r w:rsidR="00000000" w:rsidRPr="009F47E0">
        <w:rPr>
          <w:rFonts w:ascii="Garamond" w:hAnsi="Garamond"/>
          <w:sz w:val="28"/>
          <w:szCs w:val="28"/>
        </w:rPr>
        <w:t xml:space="preserve">under the penalties of perjury that the </w:t>
      </w:r>
      <w:r>
        <w:rPr>
          <w:rFonts w:ascii="Garamond" w:hAnsi="Garamond"/>
          <w:sz w:val="28"/>
          <w:szCs w:val="28"/>
        </w:rPr>
        <w:t>matters and facts set forth in</w:t>
      </w:r>
      <w:r w:rsidR="00000000" w:rsidRPr="009F47E0">
        <w:rPr>
          <w:rFonts w:ascii="Garamond" w:hAnsi="Garamond"/>
          <w:sz w:val="28"/>
          <w:szCs w:val="28"/>
        </w:rPr>
        <w:t xml:space="preserve"> the foregoing Declaration are true </w:t>
      </w:r>
      <w:r>
        <w:rPr>
          <w:rFonts w:ascii="Garamond" w:hAnsi="Garamond"/>
          <w:sz w:val="28"/>
          <w:szCs w:val="28"/>
        </w:rPr>
        <w:t xml:space="preserve">and correct </w:t>
      </w:r>
      <w:r w:rsidR="00000000" w:rsidRPr="009F47E0">
        <w:rPr>
          <w:rFonts w:ascii="Garamond" w:hAnsi="Garamond"/>
          <w:sz w:val="28"/>
          <w:szCs w:val="28"/>
        </w:rPr>
        <w:t>to the best of my knowledge, information, and belief.</w:t>
      </w:r>
    </w:p>
    <w:p w14:paraId="461FCE93" w14:textId="2BA05143" w:rsidR="009F47E0" w:rsidRDefault="009F47E0" w:rsidP="009F47E0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Respectfully submitted,</w:t>
      </w:r>
    </w:p>
    <w:p w14:paraId="61BE5C57" w14:textId="77777777" w:rsidR="009F47E0" w:rsidRDefault="009F47E0" w:rsidP="009F47E0">
      <w:pPr>
        <w:pStyle w:val="BodyText"/>
      </w:pPr>
    </w:p>
    <w:p w14:paraId="3BBE4A5E" w14:textId="77777777" w:rsidR="009F47E0" w:rsidRPr="009F47E0" w:rsidRDefault="009F47E0" w:rsidP="009F47E0">
      <w:pPr>
        <w:pStyle w:val="BodyText"/>
      </w:pPr>
    </w:p>
    <w:p w14:paraId="49B299EA" w14:textId="335DF9C1" w:rsidR="009F47E0" w:rsidRDefault="00000000" w:rsidP="009F47E0">
      <w:pPr>
        <w:pStyle w:val="BodyText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>Dated:</w:t>
      </w:r>
      <w:r w:rsidR="009F47E0">
        <w:rPr>
          <w:rFonts w:ascii="Garamond" w:hAnsi="Garamond"/>
          <w:sz w:val="28"/>
          <w:szCs w:val="28"/>
        </w:rPr>
        <w:t xml:space="preserve"> June 25</w:t>
      </w:r>
      <w:r w:rsidRPr="009F47E0">
        <w:rPr>
          <w:rFonts w:ascii="Garamond" w:hAnsi="Garamond"/>
          <w:sz w:val="28"/>
          <w:szCs w:val="28"/>
        </w:rPr>
        <w:t xml:space="preserve">, 2026 </w:t>
      </w:r>
      <w:r w:rsidR="009F47E0">
        <w:rPr>
          <w:rFonts w:ascii="Garamond" w:hAnsi="Garamond"/>
          <w:sz w:val="28"/>
          <w:szCs w:val="28"/>
        </w:rPr>
        <w:tab/>
      </w:r>
      <w:r w:rsidR="009F47E0">
        <w:rPr>
          <w:rFonts w:ascii="Garamond" w:hAnsi="Garamond"/>
          <w:sz w:val="28"/>
          <w:szCs w:val="28"/>
        </w:rPr>
        <w:tab/>
        <w:t xml:space="preserve">       </w:t>
      </w:r>
      <w:r w:rsidRPr="009F47E0">
        <w:rPr>
          <w:rFonts w:ascii="Garamond" w:hAnsi="Garamond"/>
          <w:sz w:val="28"/>
          <w:szCs w:val="28"/>
        </w:rPr>
        <w:t xml:space="preserve">/s/ ________________________________ </w:t>
      </w:r>
    </w:p>
    <w:p w14:paraId="7712A4E4" w14:textId="1F0D6B23" w:rsidR="009F47E0" w:rsidRDefault="00000000" w:rsidP="009F47E0">
      <w:pPr>
        <w:pStyle w:val="BodyText"/>
        <w:spacing w:before="0" w:after="0"/>
        <w:ind w:firstLine="450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Jeffrey M. Schatz, </w:t>
      </w:r>
    </w:p>
    <w:p w14:paraId="24A279C7" w14:textId="77777777" w:rsidR="009F47E0" w:rsidRDefault="00000000" w:rsidP="009F47E0">
      <w:pPr>
        <w:pStyle w:val="BodyText"/>
        <w:spacing w:before="0" w:after="0"/>
        <w:ind w:firstLine="450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18 Edmondson Ridge Road, </w:t>
      </w:r>
    </w:p>
    <w:p w14:paraId="325EB629" w14:textId="77777777" w:rsidR="009F47E0" w:rsidRDefault="00000000" w:rsidP="009F47E0">
      <w:pPr>
        <w:pStyle w:val="BodyText"/>
        <w:spacing w:before="0" w:after="0"/>
        <w:ind w:firstLine="450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Catonsville, Maryland 21228 </w:t>
      </w:r>
    </w:p>
    <w:p w14:paraId="22CC8BA0" w14:textId="7611A272" w:rsidR="009F47E0" w:rsidRDefault="00000000" w:rsidP="009F47E0">
      <w:pPr>
        <w:pStyle w:val="BodyText"/>
        <w:spacing w:before="0" w:after="0"/>
        <w:ind w:firstLine="450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(240) 490-0053 </w:t>
      </w:r>
    </w:p>
    <w:p w14:paraId="0B634166" w14:textId="130E3323" w:rsidR="003E5D5C" w:rsidRDefault="009F47E0" w:rsidP="009F47E0">
      <w:pPr>
        <w:pStyle w:val="BodyText"/>
        <w:spacing w:before="0" w:after="0"/>
        <w:ind w:firstLine="4500"/>
        <w:rPr>
          <w:rFonts w:ascii="Garamond" w:hAnsi="Garamond"/>
          <w:sz w:val="28"/>
          <w:szCs w:val="28"/>
        </w:rPr>
      </w:pPr>
      <w:hyperlink r:id="rId7" w:history="1">
        <w:r w:rsidRPr="00D2402E">
          <w:rPr>
            <w:rStyle w:val="Hyperlink"/>
            <w:rFonts w:ascii="Garamond" w:hAnsi="Garamond"/>
            <w:sz w:val="28"/>
            <w:szCs w:val="28"/>
          </w:rPr>
          <w:t>thecornerspore@gmail.com</w:t>
        </w:r>
      </w:hyperlink>
    </w:p>
    <w:p w14:paraId="449DF83E" w14:textId="77777777" w:rsidR="009F47E0" w:rsidRDefault="009F47E0" w:rsidP="009F47E0">
      <w:pPr>
        <w:pStyle w:val="BodyText"/>
        <w:spacing w:before="0" w:after="0"/>
        <w:ind w:firstLine="4500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Defendant </w:t>
      </w:r>
      <w:r w:rsidRPr="009F47E0">
        <w:rPr>
          <w:rFonts w:ascii="Garamond" w:hAnsi="Garamond"/>
          <w:i/>
          <w:sz w:val="28"/>
          <w:szCs w:val="28"/>
        </w:rPr>
        <w:t>in propria persona</w:t>
      </w:r>
      <w:r w:rsidRPr="009F47E0">
        <w:rPr>
          <w:rFonts w:ascii="Garamond" w:hAnsi="Garamond"/>
          <w:sz w:val="28"/>
          <w:szCs w:val="28"/>
        </w:rPr>
        <w:t xml:space="preserve"> </w:t>
      </w:r>
    </w:p>
    <w:p w14:paraId="55C0E30E" w14:textId="77777777" w:rsidR="009F47E0" w:rsidRPr="009F47E0" w:rsidRDefault="009F47E0" w:rsidP="009F47E0">
      <w:pPr>
        <w:pStyle w:val="BodyText"/>
        <w:spacing w:line="360" w:lineRule="auto"/>
        <w:rPr>
          <w:rFonts w:ascii="Garamond" w:hAnsi="Garamond"/>
          <w:sz w:val="28"/>
          <w:szCs w:val="28"/>
        </w:rPr>
      </w:pPr>
    </w:p>
    <w:p w14:paraId="79D0AA89" w14:textId="77777777" w:rsidR="003E5D5C" w:rsidRPr="009F47E0" w:rsidRDefault="00000000" w:rsidP="009F47E0">
      <w:pPr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pict w14:anchorId="06F87929">
          <v:rect id="_x0000_i1025" style="width:0;height:1.5pt" o:hralign="center" o:hrstd="t" o:hr="t"/>
        </w:pict>
      </w:r>
    </w:p>
    <w:p w14:paraId="306459CC" w14:textId="77777777" w:rsidR="009F47E0" w:rsidRDefault="009F47E0" w:rsidP="009F47E0">
      <w:pPr>
        <w:pStyle w:val="Heading3"/>
        <w:spacing w:line="360" w:lineRule="auto"/>
        <w:rPr>
          <w:rFonts w:ascii="Garamond" w:hAnsi="Garamond"/>
          <w:sz w:val="28"/>
          <w:szCs w:val="28"/>
        </w:rPr>
      </w:pPr>
      <w:bookmarkStart w:id="11" w:name="Xcc02203b8a466fd647cf7e654937208ad287bd1"/>
    </w:p>
    <w:p w14:paraId="67609B8F" w14:textId="77777777" w:rsidR="009F47E0" w:rsidRDefault="009F47E0" w:rsidP="009F47E0">
      <w:pPr>
        <w:pStyle w:val="Heading3"/>
        <w:spacing w:line="360" w:lineRule="auto"/>
        <w:rPr>
          <w:rFonts w:ascii="Garamond" w:hAnsi="Garamond"/>
          <w:sz w:val="28"/>
          <w:szCs w:val="28"/>
        </w:rPr>
      </w:pPr>
    </w:p>
    <w:p w14:paraId="3345C8F5" w14:textId="77777777" w:rsidR="009F47E0" w:rsidRDefault="009F47E0" w:rsidP="009F47E0">
      <w:pPr>
        <w:pStyle w:val="Heading3"/>
        <w:spacing w:line="360" w:lineRule="auto"/>
        <w:rPr>
          <w:rFonts w:ascii="Garamond" w:hAnsi="Garamond"/>
          <w:sz w:val="28"/>
          <w:szCs w:val="28"/>
        </w:rPr>
      </w:pPr>
    </w:p>
    <w:p w14:paraId="524EE113" w14:textId="77777777" w:rsidR="009F47E0" w:rsidRDefault="009F47E0" w:rsidP="009F47E0">
      <w:pPr>
        <w:pStyle w:val="Heading3"/>
        <w:spacing w:line="360" w:lineRule="auto"/>
        <w:rPr>
          <w:rFonts w:ascii="Garamond" w:hAnsi="Garamond"/>
          <w:sz w:val="28"/>
          <w:szCs w:val="28"/>
        </w:rPr>
      </w:pPr>
    </w:p>
    <w:p w14:paraId="44F3BF9A" w14:textId="77777777" w:rsidR="009F47E0" w:rsidRDefault="009F47E0" w:rsidP="009F47E0">
      <w:pPr>
        <w:pStyle w:val="BodyText"/>
      </w:pPr>
    </w:p>
    <w:p w14:paraId="667A9D30" w14:textId="77777777" w:rsidR="009F47E0" w:rsidRPr="009F47E0" w:rsidRDefault="009F47E0" w:rsidP="009F47E0">
      <w:pPr>
        <w:pStyle w:val="BodyText"/>
      </w:pPr>
    </w:p>
    <w:p w14:paraId="0082701F" w14:textId="77777777" w:rsidR="009F47E0" w:rsidRDefault="009F47E0" w:rsidP="009F47E0">
      <w:pPr>
        <w:pStyle w:val="Heading3"/>
        <w:spacing w:line="360" w:lineRule="auto"/>
        <w:rPr>
          <w:rFonts w:ascii="Garamond" w:hAnsi="Garamond"/>
          <w:sz w:val="28"/>
          <w:szCs w:val="28"/>
        </w:rPr>
      </w:pPr>
    </w:p>
    <w:p w14:paraId="552B4AB8" w14:textId="371D779C" w:rsidR="003E5D5C" w:rsidRPr="009F47E0" w:rsidRDefault="00000000" w:rsidP="009F47E0">
      <w:pPr>
        <w:pStyle w:val="Heading3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>APPENDIX — VERIFY-BEFORE-YOU-SIGN CHECKLIST (remove before filing)</w:t>
      </w:r>
      <w:bookmarkEnd w:id="11"/>
    </w:p>
    <w:p w14:paraId="0E62C91A" w14:textId="77777777" w:rsidR="009F47E0" w:rsidRDefault="0000000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Before signing, personally confirm each against the source file: - </w:t>
      </w:r>
    </w:p>
    <w:p w14:paraId="16A844D3" w14:textId="50695D7C" w:rsidR="009F47E0" w:rsidRDefault="0000000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[ ] ¶5: open </w:t>
      </w:r>
      <w:r w:rsidRPr="009F47E0">
        <w:rPr>
          <w:rStyle w:val="VerbatimChar"/>
          <w:rFonts w:ascii="Garamond" w:hAnsi="Garamond"/>
          <w:sz w:val="28"/>
          <w:szCs w:val="28"/>
        </w:rPr>
        <w:t>llmon2_201310</w:t>
      </w:r>
      <w:r w:rsidRPr="009F47E0">
        <w:rPr>
          <w:rFonts w:ascii="Garamond" w:hAnsi="Garamond"/>
          <w:sz w:val="28"/>
          <w:szCs w:val="28"/>
        </w:rPr>
        <w:t xml:space="preserve">, locate seq </w:t>
      </w:r>
      <w:r w:rsidRPr="009F47E0">
        <w:rPr>
          <w:rFonts w:ascii="Garamond" w:hAnsi="Garamond"/>
          <w:b/>
          <w:sz w:val="28"/>
          <w:szCs w:val="28"/>
        </w:rPr>
        <w:t>1013782744</w:t>
      </w:r>
      <w:r w:rsidRPr="009F47E0">
        <w:rPr>
          <w:rFonts w:ascii="Garamond" w:hAnsi="Garamond"/>
          <w:sz w:val="28"/>
          <w:szCs w:val="28"/>
        </w:rPr>
        <w:t xml:space="preserve">, confirm the 8 fields + UPB </w:t>
      </w:r>
      <w:r w:rsidRPr="009F47E0">
        <w:rPr>
          <w:rFonts w:ascii="Garamond" w:hAnsi="Garamond"/>
          <w:b/>
          <w:sz w:val="28"/>
          <w:szCs w:val="28"/>
        </w:rPr>
        <w:t>$230,478.84</w:t>
      </w:r>
      <w:r w:rsidRPr="009F47E0">
        <w:rPr>
          <w:rFonts w:ascii="Garamond" w:hAnsi="Garamond"/>
          <w:sz w:val="28"/>
          <w:szCs w:val="28"/>
        </w:rPr>
        <w:t xml:space="preserve">. </w:t>
      </w:r>
      <w:r w:rsidR="009F47E0">
        <w:rPr>
          <w:rFonts w:ascii="Garamond" w:hAnsi="Garamond"/>
          <w:sz w:val="28"/>
          <w:szCs w:val="28"/>
        </w:rPr>
        <w:t>–</w:t>
      </w:r>
      <w:r w:rsidRPr="009F47E0">
        <w:rPr>
          <w:rFonts w:ascii="Garamond" w:hAnsi="Garamond"/>
          <w:sz w:val="28"/>
          <w:szCs w:val="28"/>
        </w:rPr>
        <w:t xml:space="preserve"> </w:t>
      </w:r>
    </w:p>
    <w:p w14:paraId="70A401E0" w14:textId="2521A309" w:rsidR="009F47E0" w:rsidRDefault="0000000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[ ] ¶5: open WF servicing-ledger (produced Ex. A), confirm </w:t>
      </w:r>
      <w:r w:rsidRPr="009F47E0">
        <w:rPr>
          <w:rFonts w:ascii="Garamond" w:hAnsi="Garamond"/>
          <w:b/>
          <w:sz w:val="28"/>
          <w:szCs w:val="28"/>
        </w:rPr>
        <w:t>$230,478.84</w:t>
      </w:r>
      <w:r w:rsidRPr="009F47E0">
        <w:rPr>
          <w:rFonts w:ascii="Garamond" w:hAnsi="Garamond"/>
          <w:sz w:val="28"/>
          <w:szCs w:val="28"/>
        </w:rPr>
        <w:t xml:space="preserve"> for </w:t>
      </w:r>
      <w:r w:rsidRPr="009F47E0">
        <w:rPr>
          <w:rFonts w:ascii="Garamond" w:hAnsi="Garamond"/>
          <w:b/>
          <w:sz w:val="28"/>
          <w:szCs w:val="28"/>
        </w:rPr>
        <w:t>Nov. 2013</w:t>
      </w:r>
      <w:r w:rsidRPr="009F47E0">
        <w:rPr>
          <w:rFonts w:ascii="Garamond" w:hAnsi="Garamond"/>
          <w:sz w:val="28"/>
          <w:szCs w:val="28"/>
        </w:rPr>
        <w:t xml:space="preserve">. </w:t>
      </w:r>
      <w:r w:rsidR="009F47E0">
        <w:rPr>
          <w:rFonts w:ascii="Garamond" w:hAnsi="Garamond"/>
          <w:sz w:val="28"/>
          <w:szCs w:val="28"/>
        </w:rPr>
        <w:t>–</w:t>
      </w:r>
      <w:r w:rsidRPr="009F47E0">
        <w:rPr>
          <w:rFonts w:ascii="Garamond" w:hAnsi="Garamond"/>
          <w:sz w:val="28"/>
          <w:szCs w:val="28"/>
        </w:rPr>
        <w:t xml:space="preserve"> </w:t>
      </w:r>
    </w:p>
    <w:p w14:paraId="2471A702" w14:textId="00D25C54" w:rsidR="009F47E0" w:rsidRDefault="0000000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[ ] ¶8 row 2: open </w:t>
      </w:r>
      <w:r w:rsidRPr="009F47E0">
        <w:rPr>
          <w:rStyle w:val="VerbatimChar"/>
          <w:rFonts w:ascii="Garamond" w:hAnsi="Garamond"/>
          <w:sz w:val="28"/>
          <w:szCs w:val="28"/>
        </w:rPr>
        <w:t>GNMA_MBS_SF_LIQ_082539</w:t>
      </w:r>
      <w:r w:rsidRPr="009F47E0">
        <w:rPr>
          <w:rFonts w:ascii="Garamond" w:hAnsi="Garamond"/>
          <w:sz w:val="28"/>
          <w:szCs w:val="28"/>
        </w:rPr>
        <w:t xml:space="preserve">, confirm removal period </w:t>
      </w:r>
      <w:r w:rsidRPr="009F47E0">
        <w:rPr>
          <w:rFonts w:ascii="Garamond" w:hAnsi="Garamond"/>
          <w:b/>
          <w:sz w:val="28"/>
          <w:szCs w:val="28"/>
        </w:rPr>
        <w:t>201912</w:t>
      </w:r>
      <w:r w:rsidRPr="009F47E0">
        <w:rPr>
          <w:rFonts w:ascii="Garamond" w:hAnsi="Garamond"/>
          <w:sz w:val="28"/>
          <w:szCs w:val="28"/>
        </w:rPr>
        <w:t xml:space="preserve">, UPB </w:t>
      </w:r>
      <w:r w:rsidRPr="009F47E0">
        <w:rPr>
          <w:rFonts w:ascii="Garamond" w:hAnsi="Garamond"/>
          <w:b/>
          <w:sz w:val="28"/>
          <w:szCs w:val="28"/>
        </w:rPr>
        <w:t>$186,397.89</w:t>
      </w:r>
      <w:r w:rsidRPr="009F47E0">
        <w:rPr>
          <w:rFonts w:ascii="Garamond" w:hAnsi="Garamond"/>
          <w:sz w:val="28"/>
          <w:szCs w:val="28"/>
        </w:rPr>
        <w:t xml:space="preserve">, reason code </w:t>
      </w:r>
      <w:r w:rsidRPr="009F47E0">
        <w:rPr>
          <w:rFonts w:ascii="Garamond" w:hAnsi="Garamond"/>
          <w:b/>
          <w:sz w:val="28"/>
          <w:szCs w:val="28"/>
        </w:rPr>
        <w:t>2</w:t>
      </w:r>
      <w:r w:rsidRPr="009F47E0">
        <w:rPr>
          <w:rFonts w:ascii="Garamond" w:hAnsi="Garamond"/>
          <w:sz w:val="28"/>
          <w:szCs w:val="28"/>
        </w:rPr>
        <w:t xml:space="preserve">. </w:t>
      </w:r>
      <w:r w:rsidR="009F47E0">
        <w:rPr>
          <w:rFonts w:ascii="Garamond" w:hAnsi="Garamond"/>
          <w:sz w:val="28"/>
          <w:szCs w:val="28"/>
        </w:rPr>
        <w:t>–</w:t>
      </w:r>
      <w:r w:rsidRPr="009F47E0">
        <w:rPr>
          <w:rFonts w:ascii="Garamond" w:hAnsi="Garamond"/>
          <w:sz w:val="28"/>
          <w:szCs w:val="28"/>
        </w:rPr>
        <w:t xml:space="preserve"> </w:t>
      </w:r>
    </w:p>
    <w:p w14:paraId="483266C5" w14:textId="42BBAD82" w:rsidR="009F47E0" w:rsidRDefault="0000000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[ ] ¶8 row 3: open </w:t>
      </w:r>
      <w:r w:rsidRPr="009F47E0">
        <w:rPr>
          <w:rStyle w:val="VerbatimChar"/>
          <w:rFonts w:ascii="Garamond" w:hAnsi="Garamond"/>
          <w:sz w:val="28"/>
          <w:szCs w:val="28"/>
        </w:rPr>
        <w:t>082539MAF</w:t>
      </w:r>
      <w:r w:rsidRPr="009F47E0">
        <w:rPr>
          <w:rFonts w:ascii="Garamond" w:hAnsi="Garamond"/>
          <w:sz w:val="28"/>
          <w:szCs w:val="28"/>
        </w:rPr>
        <w:t xml:space="preserve">, confirm CUSIP </w:t>
      </w:r>
      <w:r w:rsidRPr="009F47E0">
        <w:rPr>
          <w:rFonts w:ascii="Garamond" w:hAnsi="Garamond"/>
          <w:b/>
          <w:sz w:val="28"/>
          <w:szCs w:val="28"/>
        </w:rPr>
        <w:t>36225EZD7</w:t>
      </w:r>
      <w:r w:rsidRPr="009F47E0">
        <w:rPr>
          <w:rFonts w:ascii="Garamond" w:hAnsi="Garamond"/>
          <w:sz w:val="28"/>
          <w:szCs w:val="28"/>
        </w:rPr>
        <w:t xml:space="preserve">, pool type </w:t>
      </w:r>
      <w:r w:rsidRPr="009F47E0">
        <w:rPr>
          <w:rFonts w:ascii="Garamond" w:hAnsi="Garamond"/>
          <w:b/>
          <w:sz w:val="28"/>
          <w:szCs w:val="28"/>
        </w:rPr>
        <w:t>AF</w:t>
      </w:r>
      <w:r w:rsidRPr="009F47E0">
        <w:rPr>
          <w:rFonts w:ascii="Garamond" w:hAnsi="Garamond"/>
          <w:sz w:val="28"/>
          <w:szCs w:val="28"/>
        </w:rPr>
        <w:t xml:space="preserve">, issue </w:t>
      </w:r>
      <w:r w:rsidRPr="009F47E0">
        <w:rPr>
          <w:rFonts w:ascii="Garamond" w:hAnsi="Garamond"/>
          <w:b/>
          <w:sz w:val="28"/>
          <w:szCs w:val="28"/>
        </w:rPr>
        <w:t>5/1/2010</w:t>
      </w:r>
      <w:r w:rsidRPr="009F47E0">
        <w:rPr>
          <w:rFonts w:ascii="Garamond" w:hAnsi="Garamond"/>
          <w:sz w:val="28"/>
          <w:szCs w:val="28"/>
        </w:rPr>
        <w:t xml:space="preserve">. </w:t>
      </w:r>
      <w:r w:rsidR="009F47E0">
        <w:rPr>
          <w:rFonts w:ascii="Garamond" w:hAnsi="Garamond"/>
          <w:sz w:val="28"/>
          <w:szCs w:val="28"/>
        </w:rPr>
        <w:t>–</w:t>
      </w:r>
      <w:r w:rsidRPr="009F47E0">
        <w:rPr>
          <w:rFonts w:ascii="Garamond" w:hAnsi="Garamond"/>
          <w:sz w:val="28"/>
          <w:szCs w:val="28"/>
        </w:rPr>
        <w:t xml:space="preserve"> </w:t>
      </w:r>
    </w:p>
    <w:p w14:paraId="46837640" w14:textId="39CF13FF" w:rsidR="009F47E0" w:rsidRDefault="0000000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[ ] ¶6: confirm the sweep total </w:t>
      </w:r>
      <w:r w:rsidRPr="009F47E0">
        <w:rPr>
          <w:rFonts w:ascii="Garamond" w:hAnsi="Garamond"/>
          <w:b/>
          <w:sz w:val="28"/>
          <w:szCs w:val="28"/>
        </w:rPr>
        <w:t>97,318,235</w:t>
      </w:r>
      <w:r w:rsidRPr="009F47E0">
        <w:rPr>
          <w:rFonts w:ascii="Garamond" w:hAnsi="Garamond"/>
          <w:sz w:val="28"/>
          <w:szCs w:val="28"/>
        </w:rPr>
        <w:t xml:space="preserve"> and the two cross-check counts (</w:t>
      </w:r>
      <w:r w:rsidRPr="009F47E0">
        <w:rPr>
          <w:rFonts w:ascii="Garamond" w:hAnsi="Garamond"/>
          <w:b/>
          <w:sz w:val="28"/>
          <w:szCs w:val="28"/>
        </w:rPr>
        <w:t>10,273,191</w:t>
      </w:r>
      <w:r w:rsidRPr="009F47E0">
        <w:rPr>
          <w:rFonts w:ascii="Garamond" w:hAnsi="Garamond"/>
          <w:sz w:val="28"/>
          <w:szCs w:val="28"/>
        </w:rPr>
        <w:t xml:space="preserve"> / </w:t>
      </w:r>
      <w:r w:rsidRPr="009F47E0">
        <w:rPr>
          <w:rFonts w:ascii="Garamond" w:hAnsi="Garamond"/>
          <w:b/>
          <w:sz w:val="28"/>
          <w:szCs w:val="28"/>
        </w:rPr>
        <w:t>1,327,885</w:t>
      </w:r>
      <w:r w:rsidRPr="009F47E0">
        <w:rPr>
          <w:rFonts w:ascii="Garamond" w:hAnsi="Garamond"/>
          <w:sz w:val="28"/>
          <w:szCs w:val="28"/>
        </w:rPr>
        <w:t xml:space="preserve">). - [ ] ¶9: confirm Partial Claim </w:t>
      </w:r>
      <w:r w:rsidRPr="009F47E0">
        <w:rPr>
          <w:rFonts w:ascii="Garamond" w:hAnsi="Garamond"/>
          <w:b/>
          <w:sz w:val="28"/>
          <w:szCs w:val="28"/>
        </w:rPr>
        <w:t>$41,473.09</w:t>
      </w:r>
      <w:r w:rsidRPr="009F47E0">
        <w:rPr>
          <w:rFonts w:ascii="Garamond" w:hAnsi="Garamond"/>
          <w:sz w:val="28"/>
          <w:szCs w:val="28"/>
        </w:rPr>
        <w:t xml:space="preserve">, Book </w:t>
      </w:r>
      <w:r w:rsidRPr="009F47E0">
        <w:rPr>
          <w:rFonts w:ascii="Garamond" w:hAnsi="Garamond"/>
          <w:b/>
          <w:sz w:val="28"/>
          <w:szCs w:val="28"/>
        </w:rPr>
        <w:t>46541/43</w:t>
      </w:r>
      <w:r w:rsidRPr="009F47E0">
        <w:rPr>
          <w:rFonts w:ascii="Garamond" w:hAnsi="Garamond"/>
          <w:sz w:val="28"/>
          <w:szCs w:val="28"/>
        </w:rPr>
        <w:t xml:space="preserve">, and the FHA case number matches the Note. </w:t>
      </w:r>
      <w:r w:rsidR="009F47E0">
        <w:rPr>
          <w:rFonts w:ascii="Garamond" w:hAnsi="Garamond"/>
          <w:sz w:val="28"/>
          <w:szCs w:val="28"/>
        </w:rPr>
        <w:t>–</w:t>
      </w:r>
      <w:r w:rsidRPr="009F47E0">
        <w:rPr>
          <w:rFonts w:ascii="Garamond" w:hAnsi="Garamond"/>
          <w:sz w:val="28"/>
          <w:szCs w:val="28"/>
        </w:rPr>
        <w:t xml:space="preserve"> </w:t>
      </w:r>
    </w:p>
    <w:p w14:paraId="5526AED2" w14:textId="49E465E5" w:rsidR="009F47E0" w:rsidRDefault="0000000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 xml:space="preserve">[ ] Attach each Ginnie file in ¶8 as a numbered exhibit; attach the WF ledger; attach the match demonstrative. </w:t>
      </w:r>
      <w:r w:rsidR="009F47E0">
        <w:rPr>
          <w:rFonts w:ascii="Garamond" w:hAnsi="Garamond"/>
          <w:sz w:val="28"/>
          <w:szCs w:val="28"/>
        </w:rPr>
        <w:t>–</w:t>
      </w:r>
    </w:p>
    <w:p w14:paraId="78DE65E8" w14:textId="02F391A2" w:rsidR="003E5D5C" w:rsidRPr="009F47E0" w:rsidRDefault="00000000" w:rsidP="009F47E0">
      <w:pPr>
        <w:pStyle w:val="FirstParagraph"/>
        <w:spacing w:line="360" w:lineRule="auto"/>
        <w:rPr>
          <w:rFonts w:ascii="Garamond" w:hAnsi="Garamond"/>
          <w:sz w:val="28"/>
          <w:szCs w:val="28"/>
        </w:rPr>
      </w:pPr>
      <w:r w:rsidRPr="009F47E0">
        <w:rPr>
          <w:rFonts w:ascii="Garamond" w:hAnsi="Garamond"/>
          <w:sz w:val="28"/>
          <w:szCs w:val="28"/>
        </w:rPr>
        <w:t>[ ] Confirm nothing in the body says the debt is “void,” “discharged,” or “paid.”</w:t>
      </w:r>
    </w:p>
    <w:sectPr w:rsidR="003E5D5C" w:rsidRPr="009F47E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07AC" w14:textId="77777777" w:rsidR="00BF5E36" w:rsidRDefault="00BF5E36">
      <w:pPr>
        <w:spacing w:after="0"/>
      </w:pPr>
      <w:r>
        <w:separator/>
      </w:r>
    </w:p>
  </w:endnote>
  <w:endnote w:type="continuationSeparator" w:id="0">
    <w:p w14:paraId="3CEBF287" w14:textId="77777777" w:rsidR="00BF5E36" w:rsidRDefault="00BF5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907B" w14:textId="77777777" w:rsidR="00BF5E36" w:rsidRDefault="00BF5E36">
      <w:r>
        <w:separator/>
      </w:r>
    </w:p>
  </w:footnote>
  <w:footnote w:type="continuationSeparator" w:id="0">
    <w:p w14:paraId="63BC945B" w14:textId="77777777" w:rsidR="00BF5E36" w:rsidRDefault="00BF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1C03F9"/>
    <w:multiLevelType w:val="multilevel"/>
    <w:tmpl w:val="B2923DC6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start w:val="10"/>
      <w:numFmt w:val="decimal"/>
      <w:lvlText w:val="%8."/>
      <w:lvlJc w:val="left"/>
      <w:pPr>
        <w:tabs>
          <w:tab w:val="num" w:pos="5040"/>
        </w:tabs>
        <w:ind w:left="5520" w:hanging="480"/>
      </w:pPr>
      <w:rPr>
        <w:rFonts w:hint="default"/>
      </w:rPr>
    </w:lvl>
    <w:lvl w:ilvl="8">
      <w:start w:val="10"/>
      <w:numFmt w:val="decimal"/>
      <w:lvlText w:val="%9."/>
      <w:lvlJc w:val="left"/>
      <w:pPr>
        <w:tabs>
          <w:tab w:val="num" w:pos="5760"/>
        </w:tabs>
        <w:ind w:left="6240" w:hanging="480"/>
      </w:pPr>
      <w:rPr>
        <w:rFonts w:hint="default"/>
      </w:rPr>
    </w:lvl>
  </w:abstractNum>
  <w:abstractNum w:abstractNumId="1" w15:restartNumberingAfterBreak="0">
    <w:nsid w:val="91A27D85"/>
    <w:multiLevelType w:val="multilevel"/>
    <w:tmpl w:val="17A688E6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B3CBBDEE"/>
    <w:multiLevelType w:val="multilevel"/>
    <w:tmpl w:val="60E0EC9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DA4300BD"/>
    <w:multiLevelType w:val="multilevel"/>
    <w:tmpl w:val="F0881FCA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start w:val="9"/>
      <w:numFmt w:val="decimal"/>
      <w:lvlText w:val="%8."/>
      <w:lvlJc w:val="left"/>
      <w:pPr>
        <w:tabs>
          <w:tab w:val="num" w:pos="5040"/>
        </w:tabs>
        <w:ind w:left="5520" w:hanging="480"/>
      </w:pPr>
      <w:rPr>
        <w:rFonts w:hint="default"/>
      </w:rPr>
    </w:lvl>
    <w:lvl w:ilvl="8">
      <w:start w:val="9"/>
      <w:numFmt w:val="decimal"/>
      <w:lvlText w:val="%9."/>
      <w:lvlJc w:val="left"/>
      <w:pPr>
        <w:tabs>
          <w:tab w:val="num" w:pos="5760"/>
        </w:tabs>
        <w:ind w:left="6240" w:hanging="480"/>
      </w:pPr>
      <w:rPr>
        <w:rFonts w:hint="default"/>
      </w:rPr>
    </w:lvl>
  </w:abstractNum>
  <w:abstractNum w:abstractNumId="4" w15:restartNumberingAfterBreak="0">
    <w:nsid w:val="EA454B4C"/>
    <w:multiLevelType w:val="multilevel"/>
    <w:tmpl w:val="3F80606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5" w15:restartNumberingAfterBreak="0">
    <w:nsid w:val="238D8174"/>
    <w:multiLevelType w:val="multilevel"/>
    <w:tmpl w:val="19A05ABE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start w:val="7"/>
      <w:numFmt w:val="decimal"/>
      <w:lvlText w:val="%8."/>
      <w:lvlJc w:val="left"/>
      <w:pPr>
        <w:tabs>
          <w:tab w:val="num" w:pos="5040"/>
        </w:tabs>
        <w:ind w:left="5520" w:hanging="480"/>
      </w:pPr>
      <w:rPr>
        <w:rFonts w:hint="default"/>
      </w:rPr>
    </w:lvl>
    <w:lvl w:ilvl="8">
      <w:start w:val="7"/>
      <w:numFmt w:val="decimal"/>
      <w:lvlText w:val="%9."/>
      <w:lvlJc w:val="left"/>
      <w:pPr>
        <w:tabs>
          <w:tab w:val="num" w:pos="5760"/>
        </w:tabs>
        <w:ind w:left="6240" w:hanging="480"/>
      </w:pPr>
      <w:rPr>
        <w:rFonts w:hint="default"/>
      </w:rPr>
    </w:lvl>
  </w:abstractNum>
  <w:abstractNum w:abstractNumId="6" w15:restartNumberingAfterBreak="0">
    <w:nsid w:val="2C1AE401"/>
    <w:multiLevelType w:val="multilevel"/>
    <w:tmpl w:val="5E38149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7" w15:restartNumberingAfterBreak="0">
    <w:nsid w:val="41F388D6"/>
    <w:multiLevelType w:val="multilevel"/>
    <w:tmpl w:val="3E3041E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start w:val="8"/>
      <w:numFmt w:val="decimal"/>
      <w:lvlText w:val="%8."/>
      <w:lvlJc w:val="left"/>
      <w:pPr>
        <w:tabs>
          <w:tab w:val="num" w:pos="5040"/>
        </w:tabs>
        <w:ind w:left="5520" w:hanging="480"/>
      </w:pPr>
      <w:rPr>
        <w:rFonts w:hint="default"/>
      </w:rPr>
    </w:lvl>
    <w:lvl w:ilvl="8">
      <w:start w:val="8"/>
      <w:numFmt w:val="decimal"/>
      <w:lvlText w:val="%9."/>
      <w:lvlJc w:val="left"/>
      <w:pPr>
        <w:tabs>
          <w:tab w:val="num" w:pos="5760"/>
        </w:tabs>
        <w:ind w:left="6240" w:hanging="480"/>
      </w:pPr>
      <w:rPr>
        <w:rFonts w:hint="default"/>
      </w:rPr>
    </w:lvl>
  </w:abstractNum>
  <w:abstractNum w:abstractNumId="8" w15:restartNumberingAfterBreak="0">
    <w:nsid w:val="47261BAD"/>
    <w:multiLevelType w:val="multilevel"/>
    <w:tmpl w:val="22DEE3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" w15:restartNumberingAfterBreak="0">
    <w:nsid w:val="4FBE019A"/>
    <w:multiLevelType w:val="multilevel"/>
    <w:tmpl w:val="928EF6E4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0" w15:restartNumberingAfterBreak="0">
    <w:nsid w:val="615F1ED2"/>
    <w:multiLevelType w:val="multilevel"/>
    <w:tmpl w:val="2A2EA732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start w:val="6"/>
      <w:numFmt w:val="decimal"/>
      <w:lvlText w:val="%8."/>
      <w:lvlJc w:val="left"/>
      <w:pPr>
        <w:tabs>
          <w:tab w:val="num" w:pos="5040"/>
        </w:tabs>
        <w:ind w:left="5520" w:hanging="480"/>
      </w:pPr>
      <w:rPr>
        <w:rFonts w:hint="default"/>
      </w:rPr>
    </w:lvl>
    <w:lvl w:ilvl="8">
      <w:start w:val="6"/>
      <w:numFmt w:val="decimal"/>
      <w:lvlText w:val="%9."/>
      <w:lvlJc w:val="left"/>
      <w:pPr>
        <w:tabs>
          <w:tab w:val="num" w:pos="5760"/>
        </w:tabs>
        <w:ind w:left="6240" w:hanging="480"/>
      </w:pPr>
      <w:rPr>
        <w:rFonts w:hint="default"/>
      </w:rPr>
    </w:lvl>
  </w:abstractNum>
  <w:abstractNum w:abstractNumId="11" w15:restartNumberingAfterBreak="0">
    <w:nsid w:val="71315DCA"/>
    <w:multiLevelType w:val="multilevel"/>
    <w:tmpl w:val="7BC81FF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" w16cid:durableId="1532842900">
    <w:abstractNumId w:val="6"/>
  </w:num>
  <w:num w:numId="2" w16cid:durableId="1601986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06112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 w16cid:durableId="1069496088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 w16cid:durableId="1767459774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 w16cid:durableId="2016763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5200809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8" w16cid:durableId="968054242">
    <w:abstractNumId w:val="10"/>
  </w:num>
  <w:num w:numId="9" w16cid:durableId="1361315965">
    <w:abstractNumId w:val="5"/>
  </w:num>
  <w:num w:numId="10" w16cid:durableId="2017925282">
    <w:abstractNumId w:val="7"/>
  </w:num>
  <w:num w:numId="11" w16cid:durableId="1270088691">
    <w:abstractNumId w:val="3"/>
  </w:num>
  <w:num w:numId="12" w16cid:durableId="183186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3E5D5C"/>
    <w:rsid w:val="004E29B3"/>
    <w:rsid w:val="00590D07"/>
    <w:rsid w:val="00784D58"/>
    <w:rsid w:val="008D6863"/>
    <w:rsid w:val="009F47E0"/>
    <w:rsid w:val="00B86B75"/>
    <w:rsid w:val="00BC48D5"/>
    <w:rsid w:val="00BF5E36"/>
    <w:rsid w:val="00C36279"/>
    <w:rsid w:val="00D4227A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3EDD"/>
  <w15:docId w15:val="{BF77D0C6-4DC6-49E6-9B00-BEB92DE9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47E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9F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cornerspo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1488</Words>
  <Characters>8052</Characters>
  <Application>Microsoft Office Word</Application>
  <DocSecurity>0</DocSecurity>
  <Lines>123</Lines>
  <Paragraphs>34</Paragraphs>
  <ScaleCrop>false</ScaleCrop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Jeffrey Schatz</cp:lastModifiedBy>
  <cp:revision>2</cp:revision>
  <dcterms:created xsi:type="dcterms:W3CDTF">2026-06-24T22:12:00Z</dcterms:created>
  <dcterms:modified xsi:type="dcterms:W3CDTF">2026-06-25T15:47:00Z</dcterms:modified>
</cp:coreProperties>
</file>