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002f30c9c0a985c6d597bd67e52452ad76e91cd"/>
      <w:r>
        <w:t xml:space="preserve">DEMONSTRATIVE EXHIBIT — LOAN IDENTIFICATION (ILLUSTRATIVE)</w:t>
      </w:r>
      <w:bookmarkEnd w:id="20"/>
    </w:p>
    <w:p>
      <w:pPr>
        <w:pStyle w:val="FirstParagraph"/>
      </w:pPr>
      <w:r>
        <w:rPr>
          <w:i/>
        </w:rPr>
        <w:t xml:space="preserve">This is an illustrative demonstrative, not a transcript of a sworn proceeding. Every figure shown is verified in the accompanying Declaration of Methodology and traceable to the public Ginnie Mae file cited at the foot.</w:t>
      </w:r>
    </w:p>
    <w:p>
      <w:pPr>
        <w:pStyle w:val="Heading3"/>
      </w:pPr>
      <w:bookmarkStart w:id="21" w:name="Xbd37e8e838f96375834c3b74c15d27590c40cb6"/>
      <w:r>
        <w:t xml:space="preserve">One record out of more than 108,000,000 — matched on nine fields</w:t>
      </w:r>
      <w:bookmarkEnd w:id="21"/>
    </w:p>
    <w:p>
      <w:pPr>
        <w:pStyle w:val="FirstParagraph"/>
      </w:pPr>
      <w:r>
        <w:t xml:space="preserve">The promissory note secured by 18 Edmondson Ridge Road is uniquely identified as</w:t>
      </w:r>
      <w:r>
        <w:t xml:space="preserve"> </w:t>
      </w:r>
      <w:r>
        <w:rPr>
          <w:b/>
        </w:rPr>
        <w:t xml:space="preserve">Ginnie Mae II Pool 082539, sequence 1013782744</w:t>
      </w:r>
      <w:r>
        <w:t xml:space="preserve"> </w:t>
      </w:r>
      <w:r>
        <w:t xml:space="preserve">by matching the public Ginnie Mae loan-level record against the case documents and Wells Fargo’s own servicing ledger:</w:t>
      </w:r>
    </w:p>
    <w:tbl>
      <w:tblPr>
        <w:tblStyle w:val="Table"/>
        <w:tblW w:type="pct" w:w="5000.0"/>
        <w:tblLook w:firstRow="1"/>
      </w:tblPr>
      <w:tblGrid>
        <w:gridCol w:w="1827"/>
        <w:gridCol w:w="1827"/>
        <w:gridCol w:w="1827"/>
        <w:gridCol w:w="2436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Public — Ginnie Mae loan-level file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Case — the Note / WF ledger</w:t>
            </w:r>
          </w:p>
        </w:tc>
        <w:tc>
          <w:tcPr>
            <w:tcBorders>
              <w:bottom w:val="single"/>
            </w:tcBorders>
            <w:vAlign w:val="bottom"/>
          </w:tcPr>
          <w:p/>
        </w:tc>
      </w:tr>
      <w:tr>
        <w:tc>
          <w:p>
            <w:pPr>
              <w:pStyle w:val="Compact"/>
              <w:jc w:val="left"/>
            </w:pPr>
            <w:r>
              <w:t xml:space="preserve">Agency program</w:t>
            </w:r>
          </w:p>
        </w:tc>
        <w:tc>
          <w:p>
            <w:pPr>
              <w:pStyle w:val="Compact"/>
              <w:jc w:val="left"/>
            </w:pPr>
            <w:r>
              <w:t xml:space="preserve">FHA</w:t>
            </w:r>
          </w:p>
        </w:tc>
        <w:tc>
          <w:p>
            <w:pPr>
              <w:pStyle w:val="Compact"/>
              <w:jc w:val="left"/>
            </w:pPr>
            <w:r>
              <w:t xml:space="preserve">FHA</w:t>
            </w:r>
          </w:p>
        </w:tc>
        <w:tc>
          <w:p>
            <w:pPr>
              <w:pStyle w:val="Compact"/>
              <w:jc w:val="center"/>
            </w:pPr>
            <w:r>
              <w:t xml:space="preserve">✓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Issuer</w:t>
            </w:r>
          </w:p>
        </w:tc>
        <w:tc>
          <w:p>
            <w:pPr>
              <w:pStyle w:val="Compact"/>
              <w:jc w:val="left"/>
            </w:pPr>
            <w:r>
              <w:t xml:space="preserve">3355 — Wells Fargo, N.A.</w:t>
            </w:r>
          </w:p>
        </w:tc>
        <w:tc>
          <w:p>
            <w:pPr>
              <w:pStyle w:val="Compact"/>
              <w:jc w:val="left"/>
            </w:pPr>
            <w:r>
              <w:t xml:space="preserve">Wells Fargo, N.A.</w:t>
            </w:r>
          </w:p>
        </w:tc>
        <w:tc>
          <w:p>
            <w:pPr>
              <w:pStyle w:val="Compact"/>
              <w:jc w:val="center"/>
            </w:pPr>
            <w:r>
              <w:t xml:space="preserve">✓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State</w:t>
            </w:r>
          </w:p>
        </w:tc>
        <w:tc>
          <w:p>
            <w:pPr>
              <w:pStyle w:val="Compact"/>
              <w:jc w:val="left"/>
            </w:pPr>
            <w:r>
              <w:t xml:space="preserve">MD</w:t>
            </w:r>
          </w:p>
        </w:tc>
        <w:tc>
          <w:p>
            <w:pPr>
              <w:pStyle w:val="Compact"/>
              <w:jc w:val="left"/>
            </w:pPr>
            <w:r>
              <w:t xml:space="preserve">MD</w:t>
            </w:r>
          </w:p>
        </w:tc>
        <w:tc>
          <w:p>
            <w:pPr>
              <w:pStyle w:val="Compact"/>
              <w:jc w:val="center"/>
            </w:pPr>
            <w:r>
              <w:t xml:space="preserve">✓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Original principal</w:t>
            </w:r>
          </w:p>
        </w:tc>
        <w:tc>
          <w:p>
            <w:pPr>
              <w:pStyle w:val="Compact"/>
              <w:jc w:val="left"/>
            </w:pPr>
            <w:r>
              <w:t xml:space="preserve">$254,000 (rounded to nearest $1,000)</w:t>
            </w:r>
          </w:p>
        </w:tc>
        <w:tc>
          <w:p>
            <w:pPr>
              <w:pStyle w:val="Compact"/>
              <w:jc w:val="left"/>
            </w:pPr>
            <w:r>
              <w:t xml:space="preserve">$254,308</w:t>
            </w:r>
          </w:p>
        </w:tc>
        <w:tc>
          <w:p>
            <w:pPr>
              <w:pStyle w:val="Compact"/>
              <w:jc w:val="center"/>
            </w:pPr>
            <w:r>
              <w:t xml:space="preserve">✓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Note rate</w:t>
            </w:r>
          </w:p>
        </w:tc>
        <w:tc>
          <w:p>
            <w:pPr>
              <w:pStyle w:val="Compact"/>
              <w:jc w:val="left"/>
            </w:pPr>
            <w:r>
              <w:t xml:space="preserve">4.250%</w:t>
            </w:r>
          </w:p>
        </w:tc>
        <w:tc>
          <w:p>
            <w:pPr>
              <w:pStyle w:val="Compact"/>
              <w:jc w:val="left"/>
            </w:pPr>
            <w:r>
              <w:t xml:space="preserve">4.25%</w:t>
            </w:r>
          </w:p>
        </w:tc>
        <w:tc>
          <w:p>
            <w:pPr>
              <w:pStyle w:val="Compact"/>
              <w:jc w:val="center"/>
            </w:pPr>
            <w:r>
              <w:t xml:space="preserve">✓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First payment</w:t>
            </w:r>
          </w:p>
        </w:tc>
        <w:tc>
          <w:p>
            <w:pPr>
              <w:pStyle w:val="Compact"/>
              <w:jc w:val="left"/>
            </w:pPr>
            <w:r>
              <w:t xml:space="preserve">06/01/2010</w:t>
            </w:r>
          </w:p>
        </w:tc>
        <w:tc>
          <w:p>
            <w:pPr>
              <w:pStyle w:val="Compact"/>
              <w:jc w:val="left"/>
            </w:pPr>
            <w:r>
              <w:t xml:space="preserve">06/01/2010</w:t>
            </w:r>
          </w:p>
        </w:tc>
        <w:tc>
          <w:p>
            <w:pPr>
              <w:pStyle w:val="Compact"/>
              <w:jc w:val="center"/>
            </w:pPr>
            <w:r>
              <w:t xml:space="preserve">✓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Maturity</w:t>
            </w:r>
          </w:p>
        </w:tc>
        <w:tc>
          <w:p>
            <w:pPr>
              <w:pStyle w:val="Compact"/>
              <w:jc w:val="left"/>
            </w:pPr>
            <w:r>
              <w:t xml:space="preserve">05/01/2040</w:t>
            </w:r>
          </w:p>
        </w:tc>
        <w:tc>
          <w:p>
            <w:pPr>
              <w:pStyle w:val="Compact"/>
              <w:jc w:val="left"/>
            </w:pPr>
            <w:r>
              <w:t xml:space="preserve">05/01/2040</w:t>
            </w:r>
          </w:p>
        </w:tc>
        <w:tc>
          <w:p>
            <w:pPr>
              <w:pStyle w:val="Compact"/>
              <w:jc w:val="center"/>
            </w:pPr>
            <w:r>
              <w:t xml:space="preserve">✓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Pool type</w:t>
            </w:r>
          </w:p>
        </w:tc>
        <w:tc>
          <w:p>
            <w:pPr>
              <w:pStyle w:val="Compact"/>
              <w:jc w:val="left"/>
            </w:pPr>
            <w:r>
              <w:t xml:space="preserve">AF — adjustable-rate, FHA</w:t>
            </w:r>
          </w:p>
        </w:tc>
        <w:tc>
          <w:p>
            <w:pPr>
              <w:pStyle w:val="Compact"/>
              <w:jc w:val="left"/>
            </w:pPr>
            <w:r>
              <w:t xml:space="preserve">FHA ARM</w:t>
            </w:r>
          </w:p>
        </w:tc>
        <w:tc>
          <w:p>
            <w:pPr>
              <w:pStyle w:val="Compact"/>
              <w:jc w:val="center"/>
            </w:pPr>
            <w:r>
              <w:t xml:space="preserve">✓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Current unpaid balance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$230,478.84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$230,478.84</w:t>
            </w:r>
            <w:r>
              <w:t xml:space="preserve"> </w:t>
            </w:r>
            <w:r>
              <w:t xml:space="preserve">(WF ledger, Nov. 2013)</w:t>
            </w:r>
          </w:p>
        </w:tc>
        <w:tc>
          <w:p>
            <w:pPr>
              <w:pStyle w:val="Compact"/>
              <w:jc w:val="center"/>
            </w:pPr>
            <w:r>
              <w:rPr>
                <w:b/>
              </w:rPr>
              <w:t xml:space="preserve">✓ exact</w:t>
            </w:r>
          </w:p>
        </w:tc>
      </w:tr>
    </w:tbl>
    <w:p>
      <w:pPr>
        <w:pStyle w:val="BodyText"/>
      </w:pPr>
      <w:r>
        <w:rPr>
          <w:b/>
        </w:rPr>
        <w:t xml:space="preserve">The clincher:</w:t>
      </w:r>
      <w:r>
        <w:t xml:space="preserve"> </w:t>
      </w:r>
      <w:r>
        <w:t xml:space="preserve">the current unpaid balance matches to the</w:t>
      </w:r>
      <w:r>
        <w:t xml:space="preserve"> </w:t>
      </w:r>
      <w:r>
        <w:rPr>
          <w:b/>
        </w:rPr>
        <w:t xml:space="preserve">penny</w:t>
      </w:r>
      <w:r>
        <w:t xml:space="preserve">. A coincidental $254,000 loan would not also carry the Note’s exact cents-level balance in the same month. Among every Maryland 4.25% loan and every Wells-Fargo-issued Maryland loan in the public data,</w:t>
      </w:r>
      <w:r>
        <w:t xml:space="preserve"> </w:t>
      </w:r>
      <w:r>
        <w:rPr>
          <w:b/>
        </w:rPr>
        <w:t xml:space="preserve">only sequence 1013782744 in Pool 082539</w:t>
      </w:r>
      <w:r>
        <w:t xml:space="preserve"> </w:t>
      </w:r>
      <w:r>
        <w:t xml:space="preserve">fits every field.</w:t>
      </w:r>
    </w:p>
    <w:p>
      <w:pPr>
        <w:pStyle w:val="Heading3"/>
      </w:pPr>
      <w:bookmarkStart w:id="22" w:name="the-denominator"/>
      <w:r>
        <w:t xml:space="preserve">The denominator</w:t>
      </w:r>
      <w:bookmarkEnd w:id="22"/>
    </w:p>
    <w:p>
      <w:pPr>
        <w:pStyle w:val="FirstParagraph"/>
      </w:pPr>
      <w:r>
        <w:t xml:space="preserve">The match survived an active elimination across</w:t>
      </w:r>
      <w:r>
        <w:t xml:space="preserve"> </w:t>
      </w:r>
      <w:r>
        <w:rPr>
          <w:b/>
        </w:rPr>
        <w:t xml:space="preserve">more than 108 million individual loan records</w:t>
      </w:r>
      <w:r>
        <w:t xml:space="preserve"> </w:t>
      </w:r>
      <w:r>
        <w:t xml:space="preserve">— including a re-pool sweep of</w:t>
      </w:r>
      <w:r>
        <w:t xml:space="preserve"> </w:t>
      </w:r>
      <w:r>
        <w:rPr>
          <w:b/>
        </w:rPr>
        <w:t xml:space="preserve">97,318,235</w:t>
      </w:r>
      <w:r>
        <w:t xml:space="preserve"> </w:t>
      </w:r>
      <w:r>
        <w:t xml:space="preserve">records (nine complete Ginnie Mae II monthly files, 2021–2026) that returned</w:t>
      </w:r>
      <w:r>
        <w:t xml:space="preserve"> </w:t>
      </w:r>
      <w:r>
        <w:rPr>
          <w:b/>
        </w:rPr>
        <w:t xml:space="preserve">zero</w:t>
      </w:r>
      <w:r>
        <w:t xml:space="preserve"> </w:t>
      </w:r>
      <w:r>
        <w:t xml:space="preserve">Maryland re-pool match, confirming the Note was never re-securitized after its December 2019 buyout.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</w:rPr>
        <w:t xml:space="preserve">Interactive version: https://schatz-082539-zipper.netlify.app · Public source: Ginnie Mae loan-level disclosure (ginniemae.gov), file llmon2_201310 + Pool 082539 liquidation file. Case source: the Note and Wells Fargo’s produced servicing ledger. Verified in the Declaration of Methodology, § 1-304.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2026-06-24T13:09:46Z</dcterms:created>
  <dcterms:modified xsi:type="dcterms:W3CDTF">2026-06-24T13:09:46Z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